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117E81" w14:textId="77777777" w:rsidR="00E23D74" w:rsidRDefault="00C952BA">
      <w:pPr>
        <w:pStyle w:val="Corpotesto"/>
        <w:tabs>
          <w:tab w:val="left" w:pos="6535"/>
        </w:tabs>
        <w:ind w:left="112"/>
      </w:pPr>
      <w:r>
        <w:rPr>
          <w:noProof/>
          <w:position w:val="58"/>
          <w:lang w:val="it-IT" w:eastAsia="it-IT" w:bidi="ar-SA"/>
        </w:rPr>
        <w:drawing>
          <wp:inline distT="0" distB="0" distL="0" distR="0" wp14:anchorId="7131F095" wp14:editId="23E770C7">
            <wp:extent cx="1689334" cy="68103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9334" cy="681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58"/>
        </w:rPr>
        <w:tab/>
      </w:r>
      <w:r>
        <w:rPr>
          <w:noProof/>
          <w:lang w:val="it-IT" w:eastAsia="it-IT" w:bidi="ar-SA"/>
        </w:rPr>
        <w:drawing>
          <wp:inline distT="0" distB="0" distL="0" distR="0" wp14:anchorId="00DE5219" wp14:editId="6C00275A">
            <wp:extent cx="2392680" cy="1517903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2680" cy="1517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2EC8CB" w14:textId="77777777" w:rsidR="00E23D74" w:rsidRDefault="00E23D74">
      <w:pPr>
        <w:pStyle w:val="Corpotesto"/>
      </w:pPr>
    </w:p>
    <w:p w14:paraId="65D9FAD8" w14:textId="77777777" w:rsidR="00E23D74" w:rsidRDefault="00E23D74">
      <w:pPr>
        <w:pStyle w:val="Corpotesto"/>
      </w:pPr>
    </w:p>
    <w:p w14:paraId="76792E45" w14:textId="77777777" w:rsidR="00E23D74" w:rsidRDefault="00E23D74">
      <w:pPr>
        <w:pStyle w:val="Corpotesto"/>
      </w:pPr>
    </w:p>
    <w:p w14:paraId="21F10C4C" w14:textId="77777777" w:rsidR="00E23D74" w:rsidRDefault="00E23D74">
      <w:pPr>
        <w:pStyle w:val="Corpotesto"/>
      </w:pPr>
    </w:p>
    <w:p w14:paraId="37718392" w14:textId="77777777" w:rsidR="00E23D74" w:rsidRDefault="00E23D74">
      <w:pPr>
        <w:pStyle w:val="Corpotesto"/>
        <w:spacing w:before="1"/>
        <w:rPr>
          <w:sz w:val="12"/>
        </w:rPr>
      </w:pPr>
    </w:p>
    <w:tbl>
      <w:tblPr>
        <w:tblStyle w:val="TableNormal1"/>
        <w:tblW w:w="0" w:type="auto"/>
        <w:tblInd w:w="172" w:type="dxa"/>
        <w:tblBorders>
          <w:top w:val="single" w:sz="24" w:space="0" w:color="800000"/>
          <w:left w:val="single" w:sz="24" w:space="0" w:color="800000"/>
          <w:bottom w:val="single" w:sz="24" w:space="0" w:color="800000"/>
          <w:right w:val="single" w:sz="24" w:space="0" w:color="800000"/>
          <w:insideH w:val="single" w:sz="24" w:space="0" w:color="800000"/>
          <w:insideV w:val="single" w:sz="24" w:space="0" w:color="800000"/>
        </w:tblBorders>
        <w:tblLayout w:type="fixed"/>
        <w:tblLook w:val="01E0" w:firstRow="1" w:lastRow="1" w:firstColumn="1" w:lastColumn="1" w:noHBand="0" w:noVBand="0"/>
      </w:tblPr>
      <w:tblGrid>
        <w:gridCol w:w="2350"/>
        <w:gridCol w:w="7228"/>
      </w:tblGrid>
      <w:tr w:rsidR="00E23D74" w14:paraId="393A32D7" w14:textId="77777777" w:rsidTr="00231FC3">
        <w:trPr>
          <w:trHeight w:val="650"/>
        </w:trPr>
        <w:tc>
          <w:tcPr>
            <w:tcW w:w="2350" w:type="dxa"/>
          </w:tcPr>
          <w:p w14:paraId="2FCC2718" w14:textId="27C09DF8" w:rsidR="00E23D74" w:rsidRPr="00231FC3" w:rsidRDefault="00C952BA" w:rsidP="00231FC3">
            <w:pPr>
              <w:pStyle w:val="TableParagraph"/>
              <w:spacing w:before="238"/>
              <w:ind w:left="140" w:right="11"/>
              <w:jc w:val="center"/>
              <w:rPr>
                <w:rFonts w:ascii="Century"/>
                <w:b/>
                <w:color w:val="943634" w:themeColor="accent2" w:themeShade="BF"/>
                <w:sz w:val="28"/>
              </w:rPr>
            </w:pPr>
            <w:r w:rsidRPr="00231FC3">
              <w:rPr>
                <w:rFonts w:ascii="Century"/>
                <w:b/>
                <w:color w:val="943634" w:themeColor="accent2" w:themeShade="BF"/>
                <w:sz w:val="28"/>
              </w:rPr>
              <w:t xml:space="preserve">MODULE N. </w:t>
            </w:r>
            <w:r w:rsidR="00FB3532">
              <w:rPr>
                <w:rFonts w:ascii="Century"/>
                <w:b/>
                <w:color w:val="943634" w:themeColor="accent2" w:themeShade="BF"/>
                <w:sz w:val="28"/>
              </w:rPr>
              <w:t>10</w:t>
            </w:r>
            <w:bookmarkStart w:id="0" w:name="_GoBack"/>
            <w:bookmarkEnd w:id="0"/>
          </w:p>
        </w:tc>
        <w:tc>
          <w:tcPr>
            <w:tcW w:w="7228" w:type="dxa"/>
          </w:tcPr>
          <w:p w14:paraId="460497A3" w14:textId="4C475731" w:rsidR="00E23D74" w:rsidRPr="00231FC3" w:rsidRDefault="00DB46FF" w:rsidP="00231FC3">
            <w:pPr>
              <w:pStyle w:val="TableParagraph"/>
              <w:spacing w:before="238"/>
              <w:ind w:left="140"/>
              <w:jc w:val="center"/>
              <w:rPr>
                <w:rFonts w:ascii="Century"/>
                <w:b/>
                <w:color w:val="943634" w:themeColor="accent2" w:themeShade="BF"/>
                <w:sz w:val="32"/>
              </w:rPr>
            </w:pPr>
            <w:proofErr w:type="spellStart"/>
            <w:r>
              <w:rPr>
                <w:rFonts w:ascii="Century"/>
                <w:b/>
                <w:color w:val="943634" w:themeColor="accent2" w:themeShade="BF"/>
                <w:sz w:val="32"/>
              </w:rPr>
              <w:t>Sustainable</w:t>
            </w:r>
            <w:proofErr w:type="spellEnd"/>
            <w:r>
              <w:rPr>
                <w:rFonts w:ascii="Century"/>
                <w:b/>
                <w:color w:val="943634" w:themeColor="accent2" w:themeShade="BF"/>
                <w:sz w:val="32"/>
              </w:rPr>
              <w:t xml:space="preserve"> Procurement</w:t>
            </w:r>
          </w:p>
        </w:tc>
      </w:tr>
      <w:tr w:rsidR="00E23D74" w14:paraId="7B3B034A" w14:textId="77777777" w:rsidTr="00231FC3">
        <w:trPr>
          <w:trHeight w:val="427"/>
        </w:trPr>
        <w:tc>
          <w:tcPr>
            <w:tcW w:w="2350" w:type="dxa"/>
          </w:tcPr>
          <w:p w14:paraId="08BD27CB" w14:textId="40EE6B35" w:rsidR="00231FC3" w:rsidRPr="00231FC3" w:rsidRDefault="00C952BA" w:rsidP="00231FC3">
            <w:pPr>
              <w:pStyle w:val="TableParagraph"/>
              <w:spacing w:before="238"/>
              <w:ind w:left="140"/>
              <w:jc w:val="center"/>
              <w:rPr>
                <w:rFonts w:ascii="Century"/>
                <w:b/>
                <w:color w:val="943634" w:themeColor="accent2" w:themeShade="BF"/>
                <w:sz w:val="28"/>
              </w:rPr>
            </w:pPr>
            <w:r w:rsidRPr="00231FC3">
              <w:rPr>
                <w:rFonts w:ascii="Century"/>
                <w:b/>
                <w:color w:val="943634" w:themeColor="accent2" w:themeShade="BF"/>
                <w:sz w:val="28"/>
              </w:rPr>
              <w:t>LECTURER</w:t>
            </w:r>
          </w:p>
        </w:tc>
        <w:tc>
          <w:tcPr>
            <w:tcW w:w="7228" w:type="dxa"/>
          </w:tcPr>
          <w:p w14:paraId="5BAC4760" w14:textId="5D1F936E" w:rsidR="00E23D74" w:rsidRPr="005905E4" w:rsidRDefault="000B118C" w:rsidP="00231FC3">
            <w:pPr>
              <w:pStyle w:val="TableParagraph"/>
              <w:spacing w:before="73"/>
              <w:ind w:left="140"/>
              <w:jc w:val="center"/>
              <w:rPr>
                <w:rFonts w:ascii="Century"/>
                <w:sz w:val="24"/>
              </w:rPr>
            </w:pPr>
            <w:r>
              <w:rPr>
                <w:rFonts w:ascii="Century"/>
                <w:sz w:val="24"/>
              </w:rPr>
              <w:t>Alessio D</w:t>
            </w:r>
            <w:r>
              <w:rPr>
                <w:rFonts w:ascii="Century"/>
                <w:sz w:val="24"/>
              </w:rPr>
              <w:t>’</w:t>
            </w:r>
            <w:r>
              <w:rPr>
                <w:rFonts w:ascii="Century"/>
                <w:sz w:val="24"/>
              </w:rPr>
              <w:t>Amato</w:t>
            </w:r>
          </w:p>
        </w:tc>
      </w:tr>
      <w:tr w:rsidR="00E23D74" w14:paraId="5D350338" w14:textId="77777777" w:rsidTr="00231FC3">
        <w:trPr>
          <w:trHeight w:val="686"/>
        </w:trPr>
        <w:tc>
          <w:tcPr>
            <w:tcW w:w="2350" w:type="dxa"/>
          </w:tcPr>
          <w:p w14:paraId="21FA30C9" w14:textId="77777777" w:rsidR="00E23D74" w:rsidRPr="00231FC3" w:rsidRDefault="00C952BA" w:rsidP="00231FC3">
            <w:pPr>
              <w:pStyle w:val="TableParagraph"/>
              <w:spacing w:before="238"/>
              <w:ind w:left="140"/>
              <w:jc w:val="center"/>
              <w:rPr>
                <w:rFonts w:ascii="Century"/>
                <w:b/>
                <w:color w:val="943634" w:themeColor="accent2" w:themeShade="BF"/>
                <w:sz w:val="28"/>
              </w:rPr>
            </w:pPr>
            <w:r w:rsidRPr="00231FC3">
              <w:rPr>
                <w:rFonts w:ascii="Century"/>
                <w:b/>
                <w:color w:val="943634" w:themeColor="accent2" w:themeShade="BF"/>
                <w:sz w:val="28"/>
              </w:rPr>
              <w:t>LECTURE TITLE</w:t>
            </w:r>
          </w:p>
        </w:tc>
        <w:tc>
          <w:tcPr>
            <w:tcW w:w="7228" w:type="dxa"/>
          </w:tcPr>
          <w:p w14:paraId="099CBE16" w14:textId="0F5BE9C3" w:rsidR="00E23D74" w:rsidRDefault="000B118C" w:rsidP="00231FC3">
            <w:pPr>
              <w:pStyle w:val="TableParagraph"/>
              <w:ind w:left="207"/>
              <w:jc w:val="center"/>
              <w:rPr>
                <w:rFonts w:ascii="Century"/>
                <w:i/>
                <w:sz w:val="24"/>
              </w:rPr>
            </w:pPr>
            <w:r>
              <w:rPr>
                <w:rFonts w:ascii="Century"/>
                <w:i/>
                <w:sz w:val="24"/>
              </w:rPr>
              <w:t xml:space="preserve">Green Public Procurement (GPP) as an </w:t>
            </w:r>
            <w:proofErr w:type="spellStart"/>
            <w:r>
              <w:rPr>
                <w:rFonts w:ascii="Century"/>
                <w:i/>
                <w:sz w:val="24"/>
              </w:rPr>
              <w:t>Environmental</w:t>
            </w:r>
            <w:proofErr w:type="spellEnd"/>
            <w:r>
              <w:rPr>
                <w:rFonts w:ascii="Century"/>
                <w:i/>
                <w:sz w:val="24"/>
              </w:rPr>
              <w:t xml:space="preserve"> Policy Instrument</w:t>
            </w:r>
          </w:p>
        </w:tc>
      </w:tr>
      <w:tr w:rsidR="00E23D74" w14:paraId="77FCE407" w14:textId="77777777" w:rsidTr="00231FC3">
        <w:trPr>
          <w:trHeight w:val="2882"/>
        </w:trPr>
        <w:tc>
          <w:tcPr>
            <w:tcW w:w="2350" w:type="dxa"/>
          </w:tcPr>
          <w:p w14:paraId="4B0A4DE8" w14:textId="77777777" w:rsidR="00E23D74" w:rsidRDefault="00E23D74" w:rsidP="00231FC3">
            <w:pPr>
              <w:pStyle w:val="TableParagraph"/>
              <w:spacing w:before="238"/>
              <w:ind w:left="140"/>
              <w:jc w:val="center"/>
              <w:rPr>
                <w:rFonts w:ascii="Century"/>
                <w:b/>
                <w:color w:val="943634" w:themeColor="accent2" w:themeShade="BF"/>
                <w:sz w:val="28"/>
              </w:rPr>
            </w:pPr>
          </w:p>
          <w:p w14:paraId="15939EA2" w14:textId="77777777" w:rsidR="00231FC3" w:rsidRPr="00231FC3" w:rsidRDefault="00231FC3" w:rsidP="00231FC3">
            <w:pPr>
              <w:pStyle w:val="TableParagraph"/>
              <w:spacing w:before="238"/>
              <w:ind w:left="140"/>
              <w:jc w:val="center"/>
              <w:rPr>
                <w:rFonts w:ascii="Century"/>
                <w:b/>
                <w:color w:val="943634" w:themeColor="accent2" w:themeShade="BF"/>
                <w:sz w:val="28"/>
              </w:rPr>
            </w:pPr>
          </w:p>
          <w:p w14:paraId="655B8C54" w14:textId="77777777" w:rsidR="00E23D74" w:rsidRPr="00231FC3" w:rsidRDefault="00C952BA" w:rsidP="00231FC3">
            <w:pPr>
              <w:pStyle w:val="TableParagraph"/>
              <w:spacing w:before="238"/>
              <w:ind w:left="140" w:right="11"/>
              <w:jc w:val="center"/>
              <w:rPr>
                <w:rFonts w:ascii="Century"/>
                <w:b/>
                <w:color w:val="943634" w:themeColor="accent2" w:themeShade="BF"/>
                <w:sz w:val="28"/>
              </w:rPr>
            </w:pPr>
            <w:r w:rsidRPr="00231FC3">
              <w:rPr>
                <w:rFonts w:ascii="Century"/>
                <w:b/>
                <w:color w:val="943634" w:themeColor="accent2" w:themeShade="BF"/>
                <w:sz w:val="28"/>
              </w:rPr>
              <w:t>OBJECTIVES</w:t>
            </w:r>
          </w:p>
        </w:tc>
        <w:tc>
          <w:tcPr>
            <w:tcW w:w="7228" w:type="dxa"/>
          </w:tcPr>
          <w:p w14:paraId="5B524DED" w14:textId="77777777" w:rsidR="00E23D74" w:rsidRPr="0013404A" w:rsidRDefault="000B118C" w:rsidP="000B118C">
            <w:pPr>
              <w:pStyle w:val="TableParagraph"/>
              <w:tabs>
                <w:tab w:val="left" w:pos="752"/>
                <w:tab w:val="left" w:pos="753"/>
              </w:tabs>
              <w:ind w:left="392" w:right="765"/>
              <w:jc w:val="both"/>
              <w:rPr>
                <w:rFonts w:ascii="Segoe UI Symbol" w:hAnsi="Segoe UI Symbol"/>
                <w:sz w:val="24"/>
                <w:szCs w:val="24"/>
                <w:lang w:val="en-GB"/>
              </w:rPr>
            </w:pPr>
            <w:r w:rsidRPr="0013404A">
              <w:rPr>
                <w:rFonts w:ascii="Segoe UI Symbol" w:hAnsi="Segoe UI Symbol"/>
                <w:sz w:val="24"/>
                <w:szCs w:val="24"/>
                <w:lang w:val="en-GB"/>
              </w:rPr>
              <w:t xml:space="preserve">The module aims at providing an introduction to market failures related to environmental problems, together with an idea of the available policy instruments for State intervention. </w:t>
            </w:r>
          </w:p>
          <w:p w14:paraId="52ADFE2D" w14:textId="152E5213" w:rsidR="000B118C" w:rsidRDefault="000B118C" w:rsidP="000B118C">
            <w:pPr>
              <w:pStyle w:val="TableParagraph"/>
              <w:tabs>
                <w:tab w:val="left" w:pos="752"/>
                <w:tab w:val="left" w:pos="753"/>
              </w:tabs>
              <w:ind w:left="392" w:right="765"/>
              <w:jc w:val="both"/>
              <w:rPr>
                <w:rFonts w:ascii="Segoe UI Symbol" w:hAnsi="Segoe UI Symbol"/>
                <w:sz w:val="20"/>
              </w:rPr>
            </w:pPr>
            <w:r w:rsidRPr="0013404A">
              <w:rPr>
                <w:rFonts w:ascii="Segoe UI Symbol" w:hAnsi="Segoe UI Symbol"/>
                <w:sz w:val="24"/>
                <w:szCs w:val="24"/>
                <w:lang w:val="en-GB"/>
              </w:rPr>
              <w:t xml:space="preserve">On the basis of this methodological part, Green Public Procurement </w:t>
            </w:r>
            <w:r w:rsidR="0013404A">
              <w:rPr>
                <w:rFonts w:ascii="Segoe UI Symbol" w:hAnsi="Segoe UI Symbol"/>
                <w:sz w:val="24"/>
                <w:szCs w:val="24"/>
                <w:lang w:val="en-GB"/>
              </w:rPr>
              <w:t>will be assessed as an environme</w:t>
            </w:r>
            <w:r w:rsidRPr="0013404A">
              <w:rPr>
                <w:rFonts w:ascii="Segoe UI Symbol" w:hAnsi="Segoe UI Symbol"/>
                <w:sz w:val="24"/>
                <w:szCs w:val="24"/>
                <w:lang w:val="en-GB"/>
              </w:rPr>
              <w:t>ntal policy tool.</w:t>
            </w:r>
          </w:p>
        </w:tc>
      </w:tr>
      <w:tr w:rsidR="00E23D74" w14:paraId="7804980D" w14:textId="77777777" w:rsidTr="00231FC3">
        <w:trPr>
          <w:trHeight w:val="4003"/>
        </w:trPr>
        <w:tc>
          <w:tcPr>
            <w:tcW w:w="2350" w:type="dxa"/>
          </w:tcPr>
          <w:p w14:paraId="3BC4DF06" w14:textId="77777777" w:rsidR="00E23D74" w:rsidRPr="00231FC3" w:rsidRDefault="00E23D74" w:rsidP="00231FC3">
            <w:pPr>
              <w:pStyle w:val="TableParagraph"/>
              <w:spacing w:before="238"/>
              <w:ind w:left="140"/>
              <w:jc w:val="center"/>
              <w:rPr>
                <w:rFonts w:ascii="Century"/>
                <w:b/>
                <w:color w:val="943634" w:themeColor="accent2" w:themeShade="BF"/>
                <w:sz w:val="28"/>
              </w:rPr>
            </w:pPr>
          </w:p>
          <w:p w14:paraId="074E46FC" w14:textId="77777777" w:rsidR="00E23D74" w:rsidRDefault="00E23D74" w:rsidP="00231FC3">
            <w:pPr>
              <w:pStyle w:val="TableParagraph"/>
              <w:spacing w:before="238"/>
              <w:ind w:left="140"/>
              <w:jc w:val="center"/>
              <w:rPr>
                <w:rFonts w:ascii="Century"/>
                <w:b/>
                <w:color w:val="943634" w:themeColor="accent2" w:themeShade="BF"/>
                <w:sz w:val="28"/>
              </w:rPr>
            </w:pPr>
          </w:p>
          <w:p w14:paraId="5B39602D" w14:textId="77777777" w:rsidR="00231FC3" w:rsidRPr="00231FC3" w:rsidRDefault="00231FC3" w:rsidP="00231FC3">
            <w:pPr>
              <w:pStyle w:val="TableParagraph"/>
              <w:spacing w:before="238"/>
              <w:ind w:left="140"/>
              <w:jc w:val="center"/>
              <w:rPr>
                <w:rFonts w:ascii="Century"/>
                <w:b/>
                <w:color w:val="943634" w:themeColor="accent2" w:themeShade="BF"/>
                <w:sz w:val="28"/>
              </w:rPr>
            </w:pPr>
          </w:p>
          <w:p w14:paraId="6105E758" w14:textId="77777777" w:rsidR="00E23D74" w:rsidRPr="00231FC3" w:rsidRDefault="00C952BA" w:rsidP="00231FC3">
            <w:pPr>
              <w:pStyle w:val="TableParagraph"/>
              <w:spacing w:before="238"/>
              <w:ind w:left="140" w:right="11"/>
              <w:jc w:val="center"/>
              <w:rPr>
                <w:rFonts w:ascii="Century"/>
                <w:b/>
                <w:color w:val="943634" w:themeColor="accent2" w:themeShade="BF"/>
                <w:sz w:val="28"/>
              </w:rPr>
            </w:pPr>
            <w:r w:rsidRPr="00231FC3">
              <w:rPr>
                <w:rFonts w:ascii="Century"/>
                <w:b/>
                <w:color w:val="943634" w:themeColor="accent2" w:themeShade="BF"/>
                <w:sz w:val="28"/>
              </w:rPr>
              <w:t>DESCRIPTION</w:t>
            </w:r>
          </w:p>
        </w:tc>
        <w:tc>
          <w:tcPr>
            <w:tcW w:w="7228" w:type="dxa"/>
          </w:tcPr>
          <w:p w14:paraId="7B06109E" w14:textId="77777777" w:rsidR="00E23D74" w:rsidRPr="0013404A" w:rsidRDefault="000B118C" w:rsidP="000B118C">
            <w:pPr>
              <w:pStyle w:val="TableParagraph"/>
              <w:tabs>
                <w:tab w:val="left" w:pos="752"/>
                <w:tab w:val="left" w:pos="753"/>
              </w:tabs>
              <w:ind w:left="392" w:right="765"/>
              <w:jc w:val="both"/>
              <w:rPr>
                <w:rFonts w:ascii="Segoe UI Symbol" w:hAnsi="Segoe UI Symbol"/>
                <w:sz w:val="24"/>
                <w:szCs w:val="24"/>
                <w:lang w:val="en-GB"/>
              </w:rPr>
            </w:pPr>
            <w:r w:rsidRPr="0013404A">
              <w:rPr>
                <w:rFonts w:ascii="Segoe UI Symbol" w:hAnsi="Segoe UI Symbol"/>
                <w:sz w:val="24"/>
                <w:szCs w:val="24"/>
                <w:lang w:val="en-GB"/>
              </w:rPr>
              <w:t>1. the first part of the module will « level the playing field » with a summary of basic concepts</w:t>
            </w:r>
          </w:p>
          <w:p w14:paraId="66EE9A59" w14:textId="77777777" w:rsidR="000B118C" w:rsidRPr="0013404A" w:rsidRDefault="000B118C" w:rsidP="000B118C">
            <w:pPr>
              <w:pStyle w:val="TableParagraph"/>
              <w:tabs>
                <w:tab w:val="left" w:pos="752"/>
                <w:tab w:val="left" w:pos="753"/>
              </w:tabs>
              <w:ind w:left="392" w:right="765"/>
              <w:jc w:val="both"/>
              <w:rPr>
                <w:rFonts w:ascii="Segoe UI Symbol" w:hAnsi="Segoe UI Symbol"/>
                <w:sz w:val="24"/>
                <w:szCs w:val="24"/>
                <w:lang w:val="en-GB"/>
              </w:rPr>
            </w:pPr>
            <w:r w:rsidRPr="0013404A">
              <w:rPr>
                <w:rFonts w:ascii="Segoe UI Symbol" w:hAnsi="Segoe UI Symbol"/>
                <w:sz w:val="24"/>
                <w:szCs w:val="24"/>
                <w:lang w:val="en-GB"/>
              </w:rPr>
              <w:t>2. then the different sources of market failure which are relevant for environmental problems will be presented, and the main policy tools will be assessed according to the main relevant properties</w:t>
            </w:r>
          </w:p>
          <w:p w14:paraId="453AB37D" w14:textId="749AFDD7" w:rsidR="000B118C" w:rsidRDefault="000B118C" w:rsidP="000B118C">
            <w:pPr>
              <w:pStyle w:val="TableParagraph"/>
              <w:tabs>
                <w:tab w:val="left" w:pos="752"/>
                <w:tab w:val="left" w:pos="753"/>
              </w:tabs>
              <w:ind w:left="392" w:right="765"/>
              <w:jc w:val="both"/>
            </w:pPr>
            <w:r w:rsidRPr="0013404A">
              <w:rPr>
                <w:rFonts w:ascii="Segoe UI Symbol" w:hAnsi="Segoe UI Symbol"/>
                <w:sz w:val="24"/>
                <w:szCs w:val="24"/>
                <w:lang w:val="en-GB"/>
              </w:rPr>
              <w:t>3. Finally, GPP will be presented and discussed along the above methodological lines</w:t>
            </w:r>
            <w:r>
              <w:t xml:space="preserve"> </w:t>
            </w:r>
          </w:p>
        </w:tc>
      </w:tr>
      <w:tr w:rsidR="00E23D74" w14:paraId="08535612" w14:textId="77777777" w:rsidTr="00231FC3">
        <w:trPr>
          <w:trHeight w:val="1029"/>
        </w:trPr>
        <w:tc>
          <w:tcPr>
            <w:tcW w:w="2350" w:type="dxa"/>
          </w:tcPr>
          <w:p w14:paraId="634A1C2A" w14:textId="6AA43760" w:rsidR="00E23D74" w:rsidRPr="00231FC3" w:rsidRDefault="00C952BA" w:rsidP="00231FC3">
            <w:pPr>
              <w:pStyle w:val="TableParagraph"/>
              <w:spacing w:before="238"/>
              <w:ind w:left="140"/>
              <w:jc w:val="center"/>
              <w:rPr>
                <w:rFonts w:ascii="Century"/>
                <w:b/>
                <w:color w:val="943634" w:themeColor="accent2" w:themeShade="BF"/>
                <w:sz w:val="28"/>
              </w:rPr>
            </w:pPr>
            <w:r w:rsidRPr="00231FC3">
              <w:rPr>
                <w:rFonts w:ascii="Century"/>
                <w:b/>
                <w:color w:val="943634" w:themeColor="accent2" w:themeShade="BF"/>
                <w:sz w:val="28"/>
              </w:rPr>
              <w:t>CLASS MATERIAL</w:t>
            </w:r>
          </w:p>
        </w:tc>
        <w:tc>
          <w:tcPr>
            <w:tcW w:w="7228" w:type="dxa"/>
          </w:tcPr>
          <w:p w14:paraId="586A7D3C" w14:textId="697259C3" w:rsidR="00E23D74" w:rsidRDefault="000B118C" w:rsidP="00231FC3">
            <w:pPr>
              <w:pStyle w:val="TableParagraph"/>
              <w:ind w:left="140"/>
              <w:jc w:val="center"/>
              <w:rPr>
                <w:rFonts w:ascii="Century"/>
              </w:rPr>
            </w:pPr>
            <w:r>
              <w:rPr>
                <w:rFonts w:ascii="Century"/>
              </w:rPr>
              <w:t xml:space="preserve">Slides. </w:t>
            </w:r>
            <w:proofErr w:type="spellStart"/>
            <w:r>
              <w:rPr>
                <w:rFonts w:ascii="Century"/>
              </w:rPr>
              <w:t>Additional</w:t>
            </w:r>
            <w:proofErr w:type="spellEnd"/>
            <w:r>
              <w:rPr>
                <w:rFonts w:ascii="Century"/>
              </w:rPr>
              <w:t xml:space="preserve"> </w:t>
            </w:r>
            <w:proofErr w:type="spellStart"/>
            <w:r>
              <w:rPr>
                <w:rFonts w:ascii="Century"/>
              </w:rPr>
              <w:t>material</w:t>
            </w:r>
            <w:proofErr w:type="spellEnd"/>
            <w:r>
              <w:rPr>
                <w:rFonts w:ascii="Century"/>
              </w:rPr>
              <w:t xml:space="preserve"> </w:t>
            </w:r>
            <w:proofErr w:type="spellStart"/>
            <w:r>
              <w:rPr>
                <w:rFonts w:ascii="Century"/>
              </w:rPr>
              <w:t>will</w:t>
            </w:r>
            <w:proofErr w:type="spellEnd"/>
            <w:r>
              <w:rPr>
                <w:rFonts w:ascii="Century"/>
              </w:rPr>
              <w:t xml:space="preserve"> </w:t>
            </w:r>
            <w:proofErr w:type="spellStart"/>
            <w:r>
              <w:rPr>
                <w:rFonts w:ascii="Century"/>
              </w:rPr>
              <w:t>be</w:t>
            </w:r>
            <w:proofErr w:type="spellEnd"/>
            <w:r>
              <w:rPr>
                <w:rFonts w:ascii="Century"/>
              </w:rPr>
              <w:t xml:space="preserve"> </w:t>
            </w:r>
            <w:proofErr w:type="spellStart"/>
            <w:r>
              <w:rPr>
                <w:rFonts w:ascii="Century"/>
              </w:rPr>
              <w:t>provided</w:t>
            </w:r>
            <w:proofErr w:type="spellEnd"/>
            <w:r>
              <w:rPr>
                <w:rFonts w:ascii="Century"/>
              </w:rPr>
              <w:t xml:space="preserve"> </w:t>
            </w:r>
            <w:proofErr w:type="spellStart"/>
            <w:r>
              <w:rPr>
                <w:rFonts w:ascii="Century"/>
              </w:rPr>
              <w:t>after</w:t>
            </w:r>
            <w:proofErr w:type="spellEnd"/>
            <w:r>
              <w:rPr>
                <w:rFonts w:ascii="Century"/>
              </w:rPr>
              <w:t xml:space="preserve"> the course at </w:t>
            </w:r>
            <w:proofErr w:type="spellStart"/>
            <w:r>
              <w:rPr>
                <w:rFonts w:ascii="Century"/>
              </w:rPr>
              <w:t>students</w:t>
            </w:r>
            <w:proofErr w:type="spellEnd"/>
            <w:r>
              <w:rPr>
                <w:rFonts w:ascii="Century"/>
              </w:rPr>
              <w:t xml:space="preserve"> </w:t>
            </w:r>
            <w:proofErr w:type="spellStart"/>
            <w:r>
              <w:rPr>
                <w:rFonts w:ascii="Century"/>
              </w:rPr>
              <w:t>request</w:t>
            </w:r>
            <w:proofErr w:type="spellEnd"/>
            <w:r>
              <w:rPr>
                <w:rFonts w:ascii="Century"/>
              </w:rPr>
              <w:t xml:space="preserve">. </w:t>
            </w:r>
          </w:p>
        </w:tc>
      </w:tr>
    </w:tbl>
    <w:p w14:paraId="001999E7" w14:textId="77777777" w:rsidR="00C952BA" w:rsidRDefault="00C952BA" w:rsidP="00231FC3">
      <w:pPr>
        <w:jc w:val="center"/>
      </w:pPr>
    </w:p>
    <w:sectPr w:rsidR="00C952BA">
      <w:type w:val="continuous"/>
      <w:pgSz w:w="11910" w:h="16840"/>
      <w:pgMar w:top="60" w:right="4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111C"/>
    <w:multiLevelType w:val="hybridMultilevel"/>
    <w:tmpl w:val="0B96FE4E"/>
    <w:lvl w:ilvl="0" w:tplc="95EE5758">
      <w:numFmt w:val="bullet"/>
      <w:lvlText w:val=""/>
      <w:lvlJc w:val="left"/>
      <w:pPr>
        <w:ind w:left="752" w:hanging="360"/>
      </w:pPr>
      <w:rPr>
        <w:rFonts w:hint="default"/>
        <w:w w:val="71"/>
        <w:lang w:val="fr-FR" w:eastAsia="fr-FR" w:bidi="fr-FR"/>
      </w:rPr>
    </w:lvl>
    <w:lvl w:ilvl="1" w:tplc="1BE6A934">
      <w:numFmt w:val="bullet"/>
      <w:lvlText w:val="•"/>
      <w:lvlJc w:val="left"/>
      <w:pPr>
        <w:ind w:left="1453" w:hanging="360"/>
      </w:pPr>
      <w:rPr>
        <w:rFonts w:hint="default"/>
        <w:lang w:val="fr-FR" w:eastAsia="fr-FR" w:bidi="fr-FR"/>
      </w:rPr>
    </w:lvl>
    <w:lvl w:ilvl="2" w:tplc="BF92FE44">
      <w:numFmt w:val="bullet"/>
      <w:lvlText w:val="•"/>
      <w:lvlJc w:val="left"/>
      <w:pPr>
        <w:ind w:left="2147" w:hanging="360"/>
      </w:pPr>
      <w:rPr>
        <w:rFonts w:hint="default"/>
        <w:lang w:val="fr-FR" w:eastAsia="fr-FR" w:bidi="fr-FR"/>
      </w:rPr>
    </w:lvl>
    <w:lvl w:ilvl="3" w:tplc="334EBE52">
      <w:numFmt w:val="bullet"/>
      <w:lvlText w:val="•"/>
      <w:lvlJc w:val="left"/>
      <w:pPr>
        <w:ind w:left="2841" w:hanging="360"/>
      </w:pPr>
      <w:rPr>
        <w:rFonts w:hint="default"/>
        <w:lang w:val="fr-FR" w:eastAsia="fr-FR" w:bidi="fr-FR"/>
      </w:rPr>
    </w:lvl>
    <w:lvl w:ilvl="4" w:tplc="E0AE1030">
      <w:numFmt w:val="bullet"/>
      <w:lvlText w:val="•"/>
      <w:lvlJc w:val="left"/>
      <w:pPr>
        <w:ind w:left="3535" w:hanging="360"/>
      </w:pPr>
      <w:rPr>
        <w:rFonts w:hint="default"/>
        <w:lang w:val="fr-FR" w:eastAsia="fr-FR" w:bidi="fr-FR"/>
      </w:rPr>
    </w:lvl>
    <w:lvl w:ilvl="5" w:tplc="41AAAB24">
      <w:numFmt w:val="bullet"/>
      <w:lvlText w:val="•"/>
      <w:lvlJc w:val="left"/>
      <w:pPr>
        <w:ind w:left="4229" w:hanging="360"/>
      </w:pPr>
      <w:rPr>
        <w:rFonts w:hint="default"/>
        <w:lang w:val="fr-FR" w:eastAsia="fr-FR" w:bidi="fr-FR"/>
      </w:rPr>
    </w:lvl>
    <w:lvl w:ilvl="6" w:tplc="FB884966">
      <w:numFmt w:val="bullet"/>
      <w:lvlText w:val="•"/>
      <w:lvlJc w:val="left"/>
      <w:pPr>
        <w:ind w:left="4923" w:hanging="360"/>
      </w:pPr>
      <w:rPr>
        <w:rFonts w:hint="default"/>
        <w:lang w:val="fr-FR" w:eastAsia="fr-FR" w:bidi="fr-FR"/>
      </w:rPr>
    </w:lvl>
    <w:lvl w:ilvl="7" w:tplc="3B34A3BC">
      <w:numFmt w:val="bullet"/>
      <w:lvlText w:val="•"/>
      <w:lvlJc w:val="left"/>
      <w:pPr>
        <w:ind w:left="5617" w:hanging="360"/>
      </w:pPr>
      <w:rPr>
        <w:rFonts w:hint="default"/>
        <w:lang w:val="fr-FR" w:eastAsia="fr-FR" w:bidi="fr-FR"/>
      </w:rPr>
    </w:lvl>
    <w:lvl w:ilvl="8" w:tplc="130E6E80">
      <w:numFmt w:val="bullet"/>
      <w:lvlText w:val="•"/>
      <w:lvlJc w:val="left"/>
      <w:pPr>
        <w:ind w:left="6311" w:hanging="360"/>
      </w:pPr>
      <w:rPr>
        <w:rFonts w:hint="default"/>
        <w:lang w:val="fr-FR" w:eastAsia="fr-FR" w:bidi="fr-FR"/>
      </w:rPr>
    </w:lvl>
  </w:abstractNum>
  <w:abstractNum w:abstractNumId="1" w15:restartNumberingAfterBreak="0">
    <w:nsid w:val="25D4630C"/>
    <w:multiLevelType w:val="hybridMultilevel"/>
    <w:tmpl w:val="15BAF85C"/>
    <w:lvl w:ilvl="0" w:tplc="ABD8F55C">
      <w:numFmt w:val="bullet"/>
      <w:lvlText w:val=""/>
      <w:lvlJc w:val="left"/>
      <w:pPr>
        <w:ind w:left="752" w:hanging="360"/>
      </w:pPr>
      <w:rPr>
        <w:rFonts w:ascii="Segoe UI Symbol" w:eastAsia="Segoe UI Symbol" w:hAnsi="Segoe UI Symbol" w:cs="Segoe UI Symbol" w:hint="default"/>
        <w:w w:val="71"/>
        <w:sz w:val="22"/>
        <w:szCs w:val="22"/>
        <w:lang w:val="fr-FR" w:eastAsia="fr-FR" w:bidi="fr-FR"/>
      </w:rPr>
    </w:lvl>
    <w:lvl w:ilvl="1" w:tplc="72941606">
      <w:numFmt w:val="bullet"/>
      <w:lvlText w:val="•"/>
      <w:lvlJc w:val="left"/>
      <w:pPr>
        <w:ind w:left="1453" w:hanging="360"/>
      </w:pPr>
      <w:rPr>
        <w:rFonts w:hint="default"/>
        <w:lang w:val="fr-FR" w:eastAsia="fr-FR" w:bidi="fr-FR"/>
      </w:rPr>
    </w:lvl>
    <w:lvl w:ilvl="2" w:tplc="3208CF4A">
      <w:numFmt w:val="bullet"/>
      <w:lvlText w:val="•"/>
      <w:lvlJc w:val="left"/>
      <w:pPr>
        <w:ind w:left="2147" w:hanging="360"/>
      </w:pPr>
      <w:rPr>
        <w:rFonts w:hint="default"/>
        <w:lang w:val="fr-FR" w:eastAsia="fr-FR" w:bidi="fr-FR"/>
      </w:rPr>
    </w:lvl>
    <w:lvl w:ilvl="3" w:tplc="C1A6883C">
      <w:numFmt w:val="bullet"/>
      <w:lvlText w:val="•"/>
      <w:lvlJc w:val="left"/>
      <w:pPr>
        <w:ind w:left="2841" w:hanging="360"/>
      </w:pPr>
      <w:rPr>
        <w:rFonts w:hint="default"/>
        <w:lang w:val="fr-FR" w:eastAsia="fr-FR" w:bidi="fr-FR"/>
      </w:rPr>
    </w:lvl>
    <w:lvl w:ilvl="4" w:tplc="EF6EEEAA">
      <w:numFmt w:val="bullet"/>
      <w:lvlText w:val="•"/>
      <w:lvlJc w:val="left"/>
      <w:pPr>
        <w:ind w:left="3535" w:hanging="360"/>
      </w:pPr>
      <w:rPr>
        <w:rFonts w:hint="default"/>
        <w:lang w:val="fr-FR" w:eastAsia="fr-FR" w:bidi="fr-FR"/>
      </w:rPr>
    </w:lvl>
    <w:lvl w:ilvl="5" w:tplc="7422B1A2">
      <w:numFmt w:val="bullet"/>
      <w:lvlText w:val="•"/>
      <w:lvlJc w:val="left"/>
      <w:pPr>
        <w:ind w:left="4229" w:hanging="360"/>
      </w:pPr>
      <w:rPr>
        <w:rFonts w:hint="default"/>
        <w:lang w:val="fr-FR" w:eastAsia="fr-FR" w:bidi="fr-FR"/>
      </w:rPr>
    </w:lvl>
    <w:lvl w:ilvl="6" w:tplc="259C3BB2">
      <w:numFmt w:val="bullet"/>
      <w:lvlText w:val="•"/>
      <w:lvlJc w:val="left"/>
      <w:pPr>
        <w:ind w:left="4923" w:hanging="360"/>
      </w:pPr>
      <w:rPr>
        <w:rFonts w:hint="default"/>
        <w:lang w:val="fr-FR" w:eastAsia="fr-FR" w:bidi="fr-FR"/>
      </w:rPr>
    </w:lvl>
    <w:lvl w:ilvl="7" w:tplc="9A16C26C">
      <w:numFmt w:val="bullet"/>
      <w:lvlText w:val="•"/>
      <w:lvlJc w:val="left"/>
      <w:pPr>
        <w:ind w:left="5617" w:hanging="360"/>
      </w:pPr>
      <w:rPr>
        <w:rFonts w:hint="default"/>
        <w:lang w:val="fr-FR" w:eastAsia="fr-FR" w:bidi="fr-FR"/>
      </w:rPr>
    </w:lvl>
    <w:lvl w:ilvl="8" w:tplc="273A587C">
      <w:numFmt w:val="bullet"/>
      <w:lvlText w:val="•"/>
      <w:lvlJc w:val="left"/>
      <w:pPr>
        <w:ind w:left="6311" w:hanging="360"/>
      </w:pPr>
      <w:rPr>
        <w:rFonts w:hint="default"/>
        <w:lang w:val="fr-FR" w:eastAsia="fr-FR" w:bidi="fr-FR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D74"/>
    <w:rsid w:val="000B118C"/>
    <w:rsid w:val="0013404A"/>
    <w:rsid w:val="00231FC3"/>
    <w:rsid w:val="005905E4"/>
    <w:rsid w:val="005B1673"/>
    <w:rsid w:val="00711D4D"/>
    <w:rsid w:val="00A57438"/>
    <w:rsid w:val="00C952BA"/>
    <w:rsid w:val="00DB46FF"/>
    <w:rsid w:val="00E23D74"/>
    <w:rsid w:val="00FB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C04F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fr-FR" w:eastAsia="fr-FR" w:bidi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Times New Roman" w:eastAsia="Times New Roman" w:hAnsi="Times New Roman" w:cs="Times New Roman"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Alessio D'Amato</dc:creator>
  <cp:lastModifiedBy>Utente Windows</cp:lastModifiedBy>
  <cp:revision>2</cp:revision>
  <dcterms:created xsi:type="dcterms:W3CDTF">2019-09-09T14:39:00Z</dcterms:created>
  <dcterms:modified xsi:type="dcterms:W3CDTF">2019-09-09T14:39:00Z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2018-05-11T00:00:00Z</vt:filetime>
  </property>
  <property fmtid="{D5CDD505-2E9C-101B-9397-08002B2CF9AE}" pid="3" name="LastSaved">
    <vt:filetime>2019-02-19T00:00:00Z</vt:filetime>
  </property>
</Properties>
</file>