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D3B29" w14:textId="77777777" w:rsidR="00A34D50" w:rsidRDefault="00C076E3">
      <w:pPr>
        <w:rPr>
          <w:rFonts w:ascii="Times New Roman"/>
          <w:sz w:val="20"/>
        </w:rPr>
      </w:pPr>
      <w:r>
        <w:rPr>
          <w:noProof/>
          <w:lang w:val="sv-SE" w:eastAsia="sv-SE" w:bidi="ar-SA"/>
        </w:rPr>
        <w:drawing>
          <wp:anchor distT="0" distB="0" distL="0" distR="0" simplePos="0" relativeHeight="268432415" behindDoc="1" locked="0" layoutInCell="1" allowOverlap="1" wp14:anchorId="68F2B199" wp14:editId="419430D2">
            <wp:simplePos x="0" y="0"/>
            <wp:positionH relativeFrom="page">
              <wp:posOffset>4415147</wp:posOffset>
            </wp:positionH>
            <wp:positionV relativeFrom="page">
              <wp:posOffset>106679</wp:posOffset>
            </wp:positionV>
            <wp:extent cx="3005564" cy="21702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005564" cy="2170271"/>
                    </a:xfrm>
                    <a:prstGeom prst="rect">
                      <a:avLst/>
                    </a:prstGeom>
                  </pic:spPr>
                </pic:pic>
              </a:graphicData>
            </a:graphic>
          </wp:anchor>
        </w:drawing>
      </w:r>
    </w:p>
    <w:p w14:paraId="015357B5" w14:textId="77777777" w:rsidR="00A34D50" w:rsidRDefault="00A34D50">
      <w:pPr>
        <w:rPr>
          <w:rFonts w:ascii="Times New Roman"/>
          <w:sz w:val="20"/>
        </w:rPr>
      </w:pPr>
    </w:p>
    <w:p w14:paraId="75587CFD" w14:textId="77777777" w:rsidR="00A34D50" w:rsidRDefault="00A34D50">
      <w:pPr>
        <w:spacing w:before="4"/>
        <w:rPr>
          <w:rFonts w:ascii="Times New Roman"/>
          <w:sz w:val="21"/>
        </w:rPr>
      </w:pPr>
    </w:p>
    <w:p w14:paraId="5EBFE5A1" w14:textId="77777777" w:rsidR="00A34D50" w:rsidRDefault="00C076E3">
      <w:pPr>
        <w:ind w:left="318"/>
        <w:rPr>
          <w:rFonts w:ascii="Times New Roman"/>
          <w:sz w:val="20"/>
        </w:rPr>
      </w:pPr>
      <w:r>
        <w:rPr>
          <w:rFonts w:ascii="Times New Roman"/>
          <w:noProof/>
          <w:sz w:val="20"/>
          <w:lang w:val="sv-SE" w:eastAsia="sv-SE" w:bidi="ar-SA"/>
        </w:rPr>
        <w:drawing>
          <wp:inline distT="0" distB="0" distL="0" distR="0" wp14:anchorId="6D21B3E4" wp14:editId="40FF163B">
            <wp:extent cx="1563464" cy="5762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563464" cy="576262"/>
                    </a:xfrm>
                    <a:prstGeom prst="rect">
                      <a:avLst/>
                    </a:prstGeom>
                  </pic:spPr>
                </pic:pic>
              </a:graphicData>
            </a:graphic>
          </wp:inline>
        </w:drawing>
      </w:r>
    </w:p>
    <w:p w14:paraId="02D93047" w14:textId="77777777" w:rsidR="00A34D50" w:rsidRDefault="00A34D50">
      <w:pPr>
        <w:rPr>
          <w:rFonts w:ascii="Times New Roman"/>
          <w:sz w:val="20"/>
        </w:rPr>
      </w:pPr>
    </w:p>
    <w:p w14:paraId="611DBEA6" w14:textId="77777777" w:rsidR="00A34D50" w:rsidRDefault="00A34D50">
      <w:pPr>
        <w:rPr>
          <w:rFonts w:ascii="Times New Roman"/>
          <w:sz w:val="20"/>
        </w:rPr>
      </w:pPr>
    </w:p>
    <w:p w14:paraId="4D27E29D" w14:textId="77777777" w:rsidR="00A34D50" w:rsidRDefault="00A34D50">
      <w:pPr>
        <w:rPr>
          <w:rFonts w:ascii="Times New Roman"/>
          <w:sz w:val="20"/>
        </w:rPr>
      </w:pPr>
    </w:p>
    <w:p w14:paraId="0E2D78A1" w14:textId="77777777" w:rsidR="00A34D50" w:rsidRDefault="00A34D50">
      <w:pPr>
        <w:rPr>
          <w:rFonts w:ascii="Times New Roman"/>
          <w:sz w:val="20"/>
        </w:rPr>
      </w:pPr>
    </w:p>
    <w:p w14:paraId="017978EE" w14:textId="77777777" w:rsidR="00A34D50" w:rsidRDefault="00A34D50">
      <w:pPr>
        <w:rPr>
          <w:rFonts w:ascii="Times New Roman"/>
          <w:sz w:val="20"/>
        </w:rPr>
      </w:pPr>
    </w:p>
    <w:p w14:paraId="2C20FE08" w14:textId="77777777" w:rsidR="00A34D50" w:rsidRDefault="00A34D50">
      <w:pPr>
        <w:rPr>
          <w:rFonts w:ascii="Times New Roman"/>
          <w:sz w:val="20"/>
        </w:rPr>
      </w:pPr>
    </w:p>
    <w:p w14:paraId="08BE3BE6" w14:textId="77777777" w:rsidR="00A34D50" w:rsidRDefault="00A34D50">
      <w:pPr>
        <w:spacing w:before="7"/>
        <w:rPr>
          <w:rFonts w:ascii="Times New Roman"/>
          <w:sz w:val="23"/>
        </w:rPr>
      </w:pPr>
    </w:p>
    <w:tbl>
      <w:tblPr>
        <w:tblStyle w:val="TableNormal"/>
        <w:tblW w:w="0" w:type="auto"/>
        <w:tblInd w:w="163"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ayout w:type="fixed"/>
        <w:tblLook w:val="01E0" w:firstRow="1" w:lastRow="1" w:firstColumn="1" w:lastColumn="1" w:noHBand="0" w:noVBand="0"/>
      </w:tblPr>
      <w:tblGrid>
        <w:gridCol w:w="1877"/>
        <w:gridCol w:w="7978"/>
      </w:tblGrid>
      <w:tr w:rsidR="00A34D50" w14:paraId="0B4401B5" w14:textId="77777777">
        <w:trPr>
          <w:trHeight w:val="645"/>
        </w:trPr>
        <w:tc>
          <w:tcPr>
            <w:tcW w:w="1877" w:type="dxa"/>
          </w:tcPr>
          <w:p w14:paraId="050C8E02" w14:textId="77777777" w:rsidR="00A34D50" w:rsidRDefault="00C076E3">
            <w:pPr>
              <w:pStyle w:val="TableParagraph"/>
              <w:spacing w:before="149"/>
              <w:ind w:left="135" w:right="79"/>
              <w:jc w:val="center"/>
              <w:rPr>
                <w:b/>
                <w:sz w:val="28"/>
              </w:rPr>
            </w:pPr>
            <w:r>
              <w:rPr>
                <w:b/>
                <w:color w:val="800000"/>
                <w:sz w:val="28"/>
              </w:rPr>
              <w:t xml:space="preserve">MODULE </w:t>
            </w:r>
            <w:r w:rsidR="006D18C1">
              <w:rPr>
                <w:b/>
                <w:color w:val="800000"/>
                <w:sz w:val="28"/>
              </w:rPr>
              <w:t>4</w:t>
            </w:r>
          </w:p>
        </w:tc>
        <w:tc>
          <w:tcPr>
            <w:tcW w:w="7978" w:type="dxa"/>
          </w:tcPr>
          <w:p w14:paraId="4DB09B56" w14:textId="77777777" w:rsidR="00A34D50" w:rsidRDefault="00C076E3">
            <w:pPr>
              <w:pStyle w:val="TableParagraph"/>
              <w:spacing w:before="149"/>
              <w:ind w:left="104"/>
              <w:rPr>
                <w:sz w:val="28"/>
              </w:rPr>
            </w:pPr>
            <w:r>
              <w:rPr>
                <w:sz w:val="28"/>
              </w:rPr>
              <w:t>Competition and Procurement</w:t>
            </w:r>
          </w:p>
        </w:tc>
      </w:tr>
      <w:tr w:rsidR="00A34D50" w14:paraId="277DC997" w14:textId="77777777">
        <w:trPr>
          <w:trHeight w:val="2023"/>
        </w:trPr>
        <w:tc>
          <w:tcPr>
            <w:tcW w:w="1877" w:type="dxa"/>
          </w:tcPr>
          <w:p w14:paraId="4B023540" w14:textId="77777777" w:rsidR="00A34D50" w:rsidRDefault="00A34D50">
            <w:pPr>
              <w:pStyle w:val="TableParagraph"/>
              <w:rPr>
                <w:rFonts w:ascii="Times New Roman"/>
                <w:sz w:val="34"/>
              </w:rPr>
            </w:pPr>
          </w:p>
          <w:p w14:paraId="2EC1B071" w14:textId="77777777" w:rsidR="00A34D50" w:rsidRDefault="00A34D50">
            <w:pPr>
              <w:pStyle w:val="TableParagraph"/>
              <w:spacing w:before="1"/>
              <w:rPr>
                <w:rFonts w:ascii="Times New Roman"/>
                <w:sz w:val="39"/>
              </w:rPr>
            </w:pPr>
          </w:p>
          <w:p w14:paraId="579AB0DF" w14:textId="77777777" w:rsidR="00A34D50" w:rsidRDefault="00C076E3">
            <w:pPr>
              <w:pStyle w:val="TableParagraph"/>
              <w:ind w:left="135" w:right="78"/>
              <w:jc w:val="center"/>
              <w:rPr>
                <w:b/>
                <w:sz w:val="28"/>
              </w:rPr>
            </w:pPr>
            <w:r>
              <w:rPr>
                <w:b/>
                <w:color w:val="800000"/>
                <w:sz w:val="28"/>
              </w:rPr>
              <w:t>LECTURER</w:t>
            </w:r>
          </w:p>
        </w:tc>
        <w:tc>
          <w:tcPr>
            <w:tcW w:w="7978" w:type="dxa"/>
          </w:tcPr>
          <w:p w14:paraId="64804256" w14:textId="4674195E" w:rsidR="00A34D50" w:rsidRDefault="00C076E3" w:rsidP="00C262F2">
            <w:pPr>
              <w:pStyle w:val="TableParagraph"/>
              <w:spacing w:before="20" w:line="252" w:lineRule="auto"/>
              <w:ind w:left="104"/>
              <w:rPr>
                <w:sz w:val="28"/>
              </w:rPr>
            </w:pPr>
            <w:r>
              <w:rPr>
                <w:sz w:val="28"/>
              </w:rPr>
              <w:t xml:space="preserve">Robert Moldén, Head of the </w:t>
            </w:r>
            <w:r w:rsidR="007877D9">
              <w:rPr>
                <w:sz w:val="28"/>
              </w:rPr>
              <w:t xml:space="preserve">Front </w:t>
            </w:r>
            <w:proofErr w:type="spellStart"/>
            <w:r w:rsidR="007877D9">
              <w:rPr>
                <w:sz w:val="28"/>
              </w:rPr>
              <w:t>Advokater</w:t>
            </w:r>
            <w:proofErr w:type="spellEnd"/>
            <w:r>
              <w:rPr>
                <w:sz w:val="28"/>
              </w:rPr>
              <w:t xml:space="preserve"> Competition Law Practice Group, former Senior Case Officer at the Swedish Competition Authority and judge at the Gothenburg Administrative Court of Appeal</w:t>
            </w:r>
          </w:p>
        </w:tc>
      </w:tr>
      <w:tr w:rsidR="00A34D50" w14:paraId="3CF005FC" w14:textId="77777777">
        <w:trPr>
          <w:trHeight w:val="684"/>
        </w:trPr>
        <w:tc>
          <w:tcPr>
            <w:tcW w:w="1877" w:type="dxa"/>
          </w:tcPr>
          <w:p w14:paraId="1FAB725C" w14:textId="77777777" w:rsidR="00A34D50" w:rsidRDefault="00C076E3">
            <w:pPr>
              <w:pStyle w:val="TableParagraph"/>
              <w:spacing w:before="1" w:line="341" w:lineRule="exact"/>
              <w:ind w:left="135" w:right="79"/>
              <w:jc w:val="center"/>
              <w:rPr>
                <w:b/>
                <w:sz w:val="28"/>
              </w:rPr>
            </w:pPr>
            <w:r>
              <w:rPr>
                <w:b/>
                <w:color w:val="800000"/>
                <w:sz w:val="28"/>
              </w:rPr>
              <w:t>LECTURE</w:t>
            </w:r>
          </w:p>
          <w:p w14:paraId="0F4EF85C" w14:textId="77777777" w:rsidR="00A34D50" w:rsidRDefault="00C076E3">
            <w:pPr>
              <w:pStyle w:val="TableParagraph"/>
              <w:spacing w:line="322" w:lineRule="exact"/>
              <w:ind w:left="135" w:right="79"/>
              <w:jc w:val="center"/>
              <w:rPr>
                <w:b/>
                <w:sz w:val="28"/>
              </w:rPr>
            </w:pPr>
            <w:r>
              <w:rPr>
                <w:b/>
                <w:color w:val="800000"/>
                <w:sz w:val="28"/>
              </w:rPr>
              <w:t>TITLE</w:t>
            </w:r>
          </w:p>
        </w:tc>
        <w:tc>
          <w:tcPr>
            <w:tcW w:w="7978" w:type="dxa"/>
          </w:tcPr>
          <w:p w14:paraId="639A9917" w14:textId="77777777" w:rsidR="00A34D50" w:rsidRDefault="00C076E3">
            <w:pPr>
              <w:pStyle w:val="TableParagraph"/>
              <w:spacing w:before="169"/>
              <w:ind w:left="104"/>
              <w:rPr>
                <w:sz w:val="28"/>
              </w:rPr>
            </w:pPr>
            <w:r>
              <w:rPr>
                <w:sz w:val="28"/>
              </w:rPr>
              <w:t>European Competition Law and Public Procurement</w:t>
            </w:r>
          </w:p>
        </w:tc>
      </w:tr>
      <w:tr w:rsidR="00A34D50" w14:paraId="365F8523" w14:textId="77777777">
        <w:trPr>
          <w:trHeight w:val="1173"/>
        </w:trPr>
        <w:tc>
          <w:tcPr>
            <w:tcW w:w="1877" w:type="dxa"/>
          </w:tcPr>
          <w:p w14:paraId="5F226D56" w14:textId="77777777" w:rsidR="00A34D50" w:rsidRDefault="00C076E3">
            <w:pPr>
              <w:pStyle w:val="TableParagraph"/>
              <w:spacing w:before="1"/>
              <w:ind w:left="135" w:right="79"/>
              <w:jc w:val="center"/>
              <w:rPr>
                <w:b/>
                <w:sz w:val="28"/>
              </w:rPr>
            </w:pPr>
            <w:r>
              <w:rPr>
                <w:b/>
                <w:color w:val="800000"/>
                <w:sz w:val="28"/>
              </w:rPr>
              <w:t>OBJECTIVES</w:t>
            </w:r>
          </w:p>
        </w:tc>
        <w:tc>
          <w:tcPr>
            <w:tcW w:w="7978" w:type="dxa"/>
          </w:tcPr>
          <w:p w14:paraId="46C95F72" w14:textId="4E4C913A" w:rsidR="00A34D50" w:rsidRDefault="00C076E3" w:rsidP="00A813FD">
            <w:pPr>
              <w:pStyle w:val="TableParagraph"/>
              <w:spacing w:before="1"/>
              <w:ind w:left="104"/>
              <w:rPr>
                <w:sz w:val="28"/>
              </w:rPr>
            </w:pPr>
            <w:r>
              <w:rPr>
                <w:sz w:val="28"/>
              </w:rPr>
              <w:t xml:space="preserve">The </w:t>
            </w:r>
            <w:r w:rsidR="00A813FD">
              <w:rPr>
                <w:sz w:val="28"/>
              </w:rPr>
              <w:t>class</w:t>
            </w:r>
            <w:r>
              <w:rPr>
                <w:sz w:val="28"/>
              </w:rPr>
              <w:t xml:space="preserve"> aims at introducing the main concepts of European Competitio</w:t>
            </w:r>
            <w:r w:rsidR="00C262F2">
              <w:rPr>
                <w:sz w:val="28"/>
              </w:rPr>
              <w:t>n Law and their interplay with public p</w:t>
            </w:r>
            <w:r>
              <w:rPr>
                <w:sz w:val="28"/>
              </w:rPr>
              <w:t>rocurement</w:t>
            </w:r>
            <w:r w:rsidR="00C262F2">
              <w:rPr>
                <w:sz w:val="28"/>
              </w:rPr>
              <w:t xml:space="preserve">. </w:t>
            </w:r>
          </w:p>
        </w:tc>
      </w:tr>
      <w:tr w:rsidR="00A34D50" w14:paraId="1F3E1E20" w14:textId="77777777">
        <w:trPr>
          <w:trHeight w:val="3352"/>
        </w:trPr>
        <w:tc>
          <w:tcPr>
            <w:tcW w:w="1877" w:type="dxa"/>
          </w:tcPr>
          <w:p w14:paraId="098358B3" w14:textId="77777777" w:rsidR="00A34D50" w:rsidRDefault="00A34D50">
            <w:pPr>
              <w:pStyle w:val="TableParagraph"/>
              <w:rPr>
                <w:rFonts w:ascii="Times New Roman"/>
                <w:sz w:val="34"/>
              </w:rPr>
            </w:pPr>
          </w:p>
          <w:p w14:paraId="0EEE7B5C" w14:textId="77777777" w:rsidR="00A34D50" w:rsidRDefault="00A34D50">
            <w:pPr>
              <w:pStyle w:val="TableParagraph"/>
              <w:rPr>
                <w:rFonts w:ascii="Times New Roman"/>
                <w:sz w:val="34"/>
              </w:rPr>
            </w:pPr>
          </w:p>
          <w:p w14:paraId="6DFF31F7" w14:textId="77777777" w:rsidR="00A34D50" w:rsidRDefault="00A34D50">
            <w:pPr>
              <w:pStyle w:val="TableParagraph"/>
              <w:rPr>
                <w:rFonts w:ascii="Times New Roman"/>
                <w:sz w:val="34"/>
              </w:rPr>
            </w:pPr>
          </w:p>
          <w:p w14:paraId="722CBDC0" w14:textId="77777777" w:rsidR="00A34D50" w:rsidRDefault="00A34D50">
            <w:pPr>
              <w:pStyle w:val="TableParagraph"/>
              <w:spacing w:before="1"/>
              <w:rPr>
                <w:rFonts w:ascii="Times New Roman"/>
                <w:sz w:val="29"/>
              </w:rPr>
            </w:pPr>
          </w:p>
          <w:p w14:paraId="397853AE" w14:textId="77777777" w:rsidR="00A34D50" w:rsidRDefault="00C076E3">
            <w:pPr>
              <w:pStyle w:val="TableParagraph"/>
              <w:spacing w:before="1"/>
              <w:ind w:left="135" w:right="79"/>
              <w:jc w:val="center"/>
              <w:rPr>
                <w:b/>
                <w:sz w:val="28"/>
              </w:rPr>
            </w:pPr>
            <w:r>
              <w:rPr>
                <w:b/>
                <w:color w:val="800000"/>
                <w:sz w:val="28"/>
              </w:rPr>
              <w:t>DESCRIPTION</w:t>
            </w:r>
          </w:p>
        </w:tc>
        <w:tc>
          <w:tcPr>
            <w:tcW w:w="7978" w:type="dxa"/>
          </w:tcPr>
          <w:p w14:paraId="46A60C72" w14:textId="4584953A" w:rsidR="007877D9" w:rsidRDefault="007877D9">
            <w:pPr>
              <w:pStyle w:val="TableParagraph"/>
              <w:spacing w:before="20" w:line="252" w:lineRule="auto"/>
              <w:ind w:left="104" w:right="27"/>
              <w:rPr>
                <w:sz w:val="28"/>
              </w:rPr>
            </w:pPr>
            <w:r>
              <w:rPr>
                <w:sz w:val="28"/>
              </w:rPr>
              <w:t xml:space="preserve">This </w:t>
            </w:r>
            <w:r w:rsidR="00A813FD">
              <w:rPr>
                <w:sz w:val="28"/>
              </w:rPr>
              <w:t>class</w:t>
            </w:r>
            <w:r>
              <w:rPr>
                <w:sz w:val="28"/>
              </w:rPr>
              <w:t xml:space="preserve"> has two main parts: </w:t>
            </w:r>
          </w:p>
          <w:p w14:paraId="6A5E0644" w14:textId="11B9805F" w:rsidR="007877D9" w:rsidRDefault="007877D9">
            <w:pPr>
              <w:pStyle w:val="TableParagraph"/>
              <w:spacing w:before="20" w:line="252" w:lineRule="auto"/>
              <w:ind w:left="104" w:right="27"/>
              <w:rPr>
                <w:sz w:val="28"/>
              </w:rPr>
            </w:pPr>
            <w:r>
              <w:rPr>
                <w:sz w:val="28"/>
              </w:rPr>
              <w:t>Firstly</w:t>
            </w:r>
            <w:r w:rsidR="00575ACA">
              <w:rPr>
                <w:sz w:val="28"/>
              </w:rPr>
              <w:t>,</w:t>
            </w:r>
            <w:r>
              <w:rPr>
                <w:sz w:val="28"/>
              </w:rPr>
              <w:t xml:space="preserve"> how competition law applies to actions by tenderers </w:t>
            </w:r>
            <w:r w:rsidR="00C262F2">
              <w:rPr>
                <w:sz w:val="28"/>
              </w:rPr>
              <w:t>(such as bid-</w:t>
            </w:r>
            <w:r>
              <w:rPr>
                <w:sz w:val="28"/>
              </w:rPr>
              <w:t xml:space="preserve">rigging) as well as to actions by contracting authorities (such as joint purchasing). </w:t>
            </w:r>
          </w:p>
          <w:p w14:paraId="582F0776" w14:textId="147E7EFA" w:rsidR="00A34D50" w:rsidRDefault="007877D9" w:rsidP="00C262F2">
            <w:pPr>
              <w:pStyle w:val="TableParagraph"/>
              <w:spacing w:before="20" w:line="252" w:lineRule="auto"/>
              <w:ind w:left="104" w:right="27"/>
              <w:rPr>
                <w:sz w:val="28"/>
              </w:rPr>
            </w:pPr>
            <w:r>
              <w:rPr>
                <w:sz w:val="28"/>
              </w:rPr>
              <w:t>Secondly</w:t>
            </w:r>
            <w:r w:rsidR="00575ACA">
              <w:rPr>
                <w:sz w:val="28"/>
              </w:rPr>
              <w:t>,</w:t>
            </w:r>
            <w:bookmarkStart w:id="0" w:name="_GoBack"/>
            <w:bookmarkEnd w:id="0"/>
            <w:r>
              <w:rPr>
                <w:sz w:val="28"/>
              </w:rPr>
              <w:t xml:space="preserve"> how competition aspects </w:t>
            </w:r>
            <w:r w:rsidR="00C262F2">
              <w:rPr>
                <w:sz w:val="28"/>
              </w:rPr>
              <w:t>affect</w:t>
            </w:r>
            <w:r>
              <w:rPr>
                <w:sz w:val="28"/>
              </w:rPr>
              <w:t xml:space="preserve"> the application of public procurement law, in particular as to framework agreements and the principles of proportionality and equality as well as the new competition principle embodied in the new public procurement directives. </w:t>
            </w:r>
          </w:p>
        </w:tc>
      </w:tr>
      <w:tr w:rsidR="00A34D50" w14:paraId="76391A34" w14:textId="77777777">
        <w:trPr>
          <w:trHeight w:val="3256"/>
        </w:trPr>
        <w:tc>
          <w:tcPr>
            <w:tcW w:w="1877" w:type="dxa"/>
          </w:tcPr>
          <w:p w14:paraId="2D166673" w14:textId="77777777" w:rsidR="00A34D50" w:rsidRDefault="00A34D50">
            <w:pPr>
              <w:pStyle w:val="TableParagraph"/>
              <w:rPr>
                <w:rFonts w:ascii="Times New Roman"/>
                <w:sz w:val="34"/>
              </w:rPr>
            </w:pPr>
          </w:p>
          <w:p w14:paraId="4F6525CA" w14:textId="77777777" w:rsidR="00A34D50" w:rsidRDefault="00A34D50">
            <w:pPr>
              <w:pStyle w:val="TableParagraph"/>
              <w:rPr>
                <w:rFonts w:ascii="Times New Roman"/>
                <w:sz w:val="34"/>
              </w:rPr>
            </w:pPr>
          </w:p>
          <w:p w14:paraId="76679251" w14:textId="77777777" w:rsidR="00A34D50" w:rsidRDefault="00A34D50">
            <w:pPr>
              <w:pStyle w:val="TableParagraph"/>
              <w:spacing w:before="11"/>
              <w:rPr>
                <w:rFonts w:ascii="Times New Roman"/>
                <w:sz w:val="43"/>
              </w:rPr>
            </w:pPr>
          </w:p>
          <w:p w14:paraId="7E6528C1" w14:textId="77777777" w:rsidR="00A34D50" w:rsidRDefault="00C076E3">
            <w:pPr>
              <w:pStyle w:val="TableParagraph"/>
              <w:ind w:left="332" w:firstLine="254"/>
              <w:rPr>
                <w:b/>
                <w:sz w:val="28"/>
              </w:rPr>
            </w:pPr>
            <w:r>
              <w:rPr>
                <w:b/>
                <w:color w:val="800000"/>
                <w:sz w:val="28"/>
              </w:rPr>
              <w:t xml:space="preserve">CLASS </w:t>
            </w:r>
            <w:r>
              <w:rPr>
                <w:b/>
                <w:color w:val="800000"/>
                <w:w w:val="95"/>
                <w:sz w:val="28"/>
              </w:rPr>
              <w:t>MATERIAL</w:t>
            </w:r>
          </w:p>
        </w:tc>
        <w:tc>
          <w:tcPr>
            <w:tcW w:w="7978" w:type="dxa"/>
          </w:tcPr>
          <w:p w14:paraId="09D973B8" w14:textId="59FBB18A" w:rsidR="00A34D50" w:rsidRDefault="007877D9">
            <w:pPr>
              <w:pStyle w:val="TableParagraph"/>
              <w:spacing w:line="276" w:lineRule="auto"/>
              <w:ind w:left="104"/>
              <w:rPr>
                <w:sz w:val="28"/>
              </w:rPr>
            </w:pPr>
            <w:r>
              <w:rPr>
                <w:sz w:val="28"/>
              </w:rPr>
              <w:t>Power Point presentation</w:t>
            </w:r>
            <w:r w:rsidR="00C262F2">
              <w:rPr>
                <w:sz w:val="28"/>
              </w:rPr>
              <w:t>, one article on Public Procurement and Competition Law written by the professor</w:t>
            </w:r>
            <w:r>
              <w:rPr>
                <w:sz w:val="28"/>
              </w:rPr>
              <w:t xml:space="preserve"> and judg</w:t>
            </w:r>
            <w:r w:rsidR="00C076E3">
              <w:rPr>
                <w:sz w:val="28"/>
              </w:rPr>
              <w:t>ments of the Court of Justice of the European Union to be presented as case studies by groups of students</w:t>
            </w:r>
            <w:r>
              <w:rPr>
                <w:sz w:val="28"/>
              </w:rPr>
              <w:t xml:space="preserve">. </w:t>
            </w:r>
            <w:r w:rsidR="00C262F2">
              <w:rPr>
                <w:sz w:val="28"/>
              </w:rPr>
              <w:t>The first day will entirely be devoted to the professor’s lectures including a number of case presentations by the professor, whereas the second day will be devoted to the students’ oral case presentations (on which the grades for this part of the module will be based)</w:t>
            </w:r>
          </w:p>
        </w:tc>
      </w:tr>
    </w:tbl>
    <w:p w14:paraId="07AF3E38" w14:textId="77777777" w:rsidR="00C076E3" w:rsidRDefault="00C076E3"/>
    <w:sectPr w:rsidR="00C076E3">
      <w:type w:val="continuous"/>
      <w:pgSz w:w="11910" w:h="16840"/>
      <w:pgMar w:top="160" w:right="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50"/>
    <w:rsid w:val="00080A57"/>
    <w:rsid w:val="002240C7"/>
    <w:rsid w:val="00544480"/>
    <w:rsid w:val="00575ACA"/>
    <w:rsid w:val="006D18C1"/>
    <w:rsid w:val="007877D9"/>
    <w:rsid w:val="00A34D50"/>
    <w:rsid w:val="00A813FD"/>
    <w:rsid w:val="00C076E3"/>
    <w:rsid w:val="00C26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3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1218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Advania</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Moldén</dc:creator>
  <cp:lastModifiedBy>Robert Moldén</cp:lastModifiedBy>
  <cp:revision>3</cp:revision>
  <cp:lastPrinted>2020-01-23T17:41:00Z</cp:lastPrinted>
  <dcterms:created xsi:type="dcterms:W3CDTF">2020-01-23T17:38:00Z</dcterms:created>
  <dcterms:modified xsi:type="dcterms:W3CDTF">2020-01-23T17:44:00Z</dcterms:modified>
</cp:coreProperties>
</file>