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C4FB" w14:textId="3EC39CFD" w:rsidR="00926A6B" w:rsidRDefault="00926A6B" w:rsidP="00503989">
      <w:pPr>
        <w:spacing w:before="100" w:beforeAutospacing="1"/>
        <w:jc w:val="both"/>
        <w:rPr>
          <w:rFonts w:ascii="Calibri" w:hAnsi="Calibri" w:cs="Calibri"/>
          <w:b/>
          <w:bCs/>
          <w:sz w:val="50"/>
          <w:szCs w:val="50"/>
        </w:rPr>
      </w:pPr>
      <w:r>
        <w:rPr>
          <w:rFonts w:ascii="Calibri" w:hAnsi="Calibri" w:cs="Calibri"/>
          <w:b/>
          <w:bCs/>
          <w:noProof/>
          <w:sz w:val="50"/>
          <w:szCs w:val="50"/>
          <w:lang w:val="it-IT" w:eastAsia="it-IT"/>
        </w:rPr>
        <w:drawing>
          <wp:inline distT="0" distB="0" distL="0" distR="0" wp14:anchorId="716A718B" wp14:editId="5ED0CF3C">
            <wp:extent cx="5943600" cy="13925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02-19 alle 10.09.29.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14:paraId="23B78981" w14:textId="77777777" w:rsidR="00503989" w:rsidRPr="00926A6B" w:rsidRDefault="00503989" w:rsidP="00503989">
      <w:pPr>
        <w:spacing w:before="100" w:beforeAutospacing="1"/>
        <w:jc w:val="both"/>
        <w:rPr>
          <w:rFonts w:ascii="Calibri" w:hAnsi="Calibri" w:cs="Calibri"/>
          <w:b/>
          <w:bCs/>
          <w:color w:val="833C0B" w:themeColor="accent2" w:themeShade="80"/>
          <w:sz w:val="50"/>
          <w:szCs w:val="50"/>
        </w:rPr>
      </w:pPr>
      <w:r w:rsidRPr="00926A6B">
        <w:rPr>
          <w:rFonts w:ascii="Calibri" w:hAnsi="Calibri" w:cs="Calibri"/>
          <w:b/>
          <w:bCs/>
          <w:color w:val="833C0B" w:themeColor="accent2" w:themeShade="80"/>
          <w:sz w:val="50"/>
          <w:szCs w:val="50"/>
        </w:rPr>
        <w:t>Master in Public Procurement Management</w:t>
      </w:r>
    </w:p>
    <w:p w14:paraId="5322E64A" w14:textId="41631B92" w:rsidR="00503989" w:rsidRPr="00926A6B" w:rsidRDefault="00883682" w:rsidP="00503989">
      <w:pPr>
        <w:jc w:val="both"/>
        <w:rPr>
          <w:rFonts w:ascii="Calibri" w:hAnsi="Calibri" w:cs="Calibri"/>
          <w:bCs/>
          <w:color w:val="833C0B" w:themeColor="accent2" w:themeShade="80"/>
          <w:sz w:val="36"/>
          <w:szCs w:val="36"/>
        </w:rPr>
      </w:pPr>
      <w:r>
        <w:rPr>
          <w:rFonts w:ascii="Calibri" w:hAnsi="Calibri" w:cs="Calibri"/>
          <w:bCs/>
          <w:color w:val="833C0B" w:themeColor="accent2" w:themeShade="80"/>
          <w:sz w:val="36"/>
          <w:szCs w:val="36"/>
        </w:rPr>
        <w:t>Module 6</w:t>
      </w:r>
      <w:bookmarkStart w:id="0" w:name="_GoBack"/>
      <w:bookmarkEnd w:id="0"/>
      <w:r w:rsidR="00503989" w:rsidRPr="00926A6B">
        <w:rPr>
          <w:rFonts w:ascii="Calibri" w:hAnsi="Calibri" w:cs="Calibri"/>
          <w:bCs/>
          <w:color w:val="833C0B" w:themeColor="accent2" w:themeShade="80"/>
          <w:sz w:val="36"/>
          <w:szCs w:val="36"/>
        </w:rPr>
        <w:t>│Integrity and Anticorruption in Public Procurement</w:t>
      </w:r>
    </w:p>
    <w:p w14:paraId="7CE98935" w14:textId="77777777" w:rsidR="0074550E" w:rsidRPr="00926A6B" w:rsidRDefault="0074550E" w:rsidP="0074550E">
      <w:pPr>
        <w:spacing w:before="100" w:beforeAutospacing="1"/>
        <w:jc w:val="both"/>
        <w:rPr>
          <w:rFonts w:ascii="Calibri" w:hAnsi="Calibri" w:cs="Calibri"/>
          <w:b/>
          <w:bCs/>
          <w:i/>
          <w:sz w:val="28"/>
          <w:szCs w:val="28"/>
        </w:rPr>
      </w:pPr>
      <w:r w:rsidRPr="00926A6B">
        <w:rPr>
          <w:rFonts w:ascii="Calibri" w:hAnsi="Calibri" w:cs="Calibri"/>
          <w:b/>
          <w:bCs/>
          <w:sz w:val="28"/>
          <w:szCs w:val="28"/>
        </w:rPr>
        <w:t xml:space="preserve">Lecturer </w:t>
      </w:r>
      <w:r w:rsidRPr="00926A6B">
        <w:rPr>
          <w:rFonts w:ascii="Calibri" w:hAnsi="Calibri" w:cs="Calibri"/>
          <w:b/>
          <w:bCs/>
          <w:i/>
          <w:sz w:val="28"/>
          <w:szCs w:val="28"/>
        </w:rPr>
        <w:t xml:space="preserve">Mr. Anders </w:t>
      </w:r>
      <w:proofErr w:type="spellStart"/>
      <w:r w:rsidRPr="00926A6B">
        <w:rPr>
          <w:rFonts w:ascii="Calibri" w:hAnsi="Calibri" w:cs="Calibri"/>
          <w:b/>
          <w:bCs/>
          <w:i/>
          <w:sz w:val="28"/>
          <w:szCs w:val="28"/>
        </w:rPr>
        <w:t>Hjorth</w:t>
      </w:r>
      <w:proofErr w:type="spellEnd"/>
      <w:r w:rsidRPr="00926A6B">
        <w:rPr>
          <w:rFonts w:ascii="Calibri" w:hAnsi="Calibri" w:cs="Calibri"/>
          <w:b/>
          <w:bCs/>
          <w:i/>
          <w:sz w:val="28"/>
          <w:szCs w:val="28"/>
        </w:rPr>
        <w:t xml:space="preserve"> </w:t>
      </w:r>
      <w:proofErr w:type="spellStart"/>
      <w:r w:rsidRPr="00926A6B">
        <w:rPr>
          <w:rFonts w:ascii="Calibri" w:hAnsi="Calibri" w:cs="Calibri"/>
          <w:b/>
          <w:bCs/>
          <w:i/>
          <w:sz w:val="28"/>
          <w:szCs w:val="28"/>
        </w:rPr>
        <w:t>Agerskov</w:t>
      </w:r>
      <w:proofErr w:type="spellEnd"/>
      <w:r w:rsidRPr="00926A6B">
        <w:rPr>
          <w:rFonts w:ascii="Calibri" w:hAnsi="Calibri" w:cs="Calibri"/>
          <w:b/>
          <w:bCs/>
          <w:i/>
          <w:sz w:val="28"/>
          <w:szCs w:val="28"/>
        </w:rPr>
        <w:t>, Head, Preventive Services Unit, World Bank</w:t>
      </w:r>
    </w:p>
    <w:p w14:paraId="2641BEC6" w14:textId="77777777" w:rsidR="0074550E" w:rsidRPr="00926A6B" w:rsidRDefault="0074550E" w:rsidP="00503989">
      <w:pPr>
        <w:spacing w:before="100" w:beforeAutospacing="1"/>
        <w:jc w:val="both"/>
        <w:rPr>
          <w:rFonts w:ascii="Calibri" w:hAnsi="Calibri" w:cs="Calibri"/>
          <w:b/>
          <w:bCs/>
          <w:color w:val="833C0B" w:themeColor="accent2" w:themeShade="80"/>
          <w:sz w:val="28"/>
          <w:szCs w:val="28"/>
        </w:rPr>
      </w:pPr>
    </w:p>
    <w:p w14:paraId="434089F8" w14:textId="77777777" w:rsidR="00503989" w:rsidRPr="00926A6B" w:rsidRDefault="0074550E" w:rsidP="00503989">
      <w:pPr>
        <w:spacing w:before="100" w:beforeAutospacing="1"/>
        <w:jc w:val="both"/>
        <w:rPr>
          <w:rFonts w:ascii="Calibri" w:hAnsi="Calibri" w:cs="Calibri"/>
          <w:b/>
          <w:bCs/>
          <w:sz w:val="28"/>
          <w:szCs w:val="28"/>
        </w:rPr>
      </w:pPr>
      <w:r w:rsidRPr="00926A6B">
        <w:rPr>
          <w:rFonts w:ascii="Calibri" w:hAnsi="Calibri" w:cs="Calibri"/>
          <w:b/>
          <w:bCs/>
          <w:sz w:val="28"/>
          <w:szCs w:val="28"/>
        </w:rPr>
        <w:t>Previous edition schedule</w:t>
      </w:r>
    </w:p>
    <w:p w14:paraId="1DF9D958" w14:textId="77777777" w:rsidR="003E5709" w:rsidRPr="00503989" w:rsidRDefault="0074550E" w:rsidP="00514058">
      <w:pPr>
        <w:shd w:val="clear" w:color="auto" w:fill="000000" w:themeFill="text1"/>
        <w:spacing w:before="100" w:beforeAutospacing="1" w:after="100" w:afterAutospacing="1"/>
        <w:jc w:val="both"/>
        <w:rPr>
          <w:rFonts w:ascii="Calibri" w:hAnsi="Calibri" w:cs="Calibri"/>
          <w:b/>
          <w:bCs/>
          <w:sz w:val="28"/>
          <w:szCs w:val="28"/>
        </w:rPr>
      </w:pPr>
      <w:r>
        <w:rPr>
          <w:rFonts w:ascii="Calibri" w:hAnsi="Calibri" w:cs="Calibri"/>
          <w:b/>
          <w:bCs/>
          <w:sz w:val="28"/>
          <w:szCs w:val="28"/>
        </w:rPr>
        <w:t>Day 1</w:t>
      </w:r>
    </w:p>
    <w:p w14:paraId="1513CE2D" w14:textId="77777777" w:rsidR="003E5709" w:rsidRPr="00926A6B" w:rsidRDefault="003E5709" w:rsidP="003E5709">
      <w:pPr>
        <w:spacing w:before="100" w:beforeAutospacing="1"/>
        <w:jc w:val="both"/>
        <w:rPr>
          <w:rFonts w:ascii="Calibri" w:hAnsi="Calibri" w:cs="Calibri"/>
          <w:b/>
          <w:bCs/>
          <w:color w:val="833C0B" w:themeColor="accent2" w:themeShade="80"/>
          <w:sz w:val="22"/>
          <w:szCs w:val="22"/>
        </w:rPr>
      </w:pPr>
      <w:r w:rsidRPr="00926A6B">
        <w:rPr>
          <w:rFonts w:ascii="Calibri" w:hAnsi="Calibri" w:cs="Calibri"/>
          <w:b/>
          <w:bCs/>
          <w:color w:val="833C0B" w:themeColor="accent2" w:themeShade="80"/>
          <w:sz w:val="22"/>
          <w:szCs w:val="22"/>
        </w:rPr>
        <w:tab/>
      </w:r>
      <w:r w:rsidR="004A7A8E" w:rsidRPr="00926A6B">
        <w:rPr>
          <w:rFonts w:ascii="Calibri" w:hAnsi="Calibri" w:cs="Calibri"/>
          <w:b/>
          <w:bCs/>
          <w:color w:val="833C0B" w:themeColor="accent2" w:themeShade="80"/>
          <w:sz w:val="22"/>
          <w:szCs w:val="22"/>
        </w:rPr>
        <w:t>T</w:t>
      </w:r>
      <w:r w:rsidRPr="00926A6B">
        <w:rPr>
          <w:rFonts w:ascii="Calibri" w:hAnsi="Calibri" w:cs="Calibri"/>
          <w:b/>
          <w:bCs/>
          <w:color w:val="833C0B" w:themeColor="accent2" w:themeShade="80"/>
          <w:sz w:val="22"/>
          <w:szCs w:val="22"/>
        </w:rPr>
        <w:t>he Inner Workings of Fraud and Corruption in Procurement</w:t>
      </w:r>
    </w:p>
    <w:p w14:paraId="33D95995" w14:textId="77777777" w:rsidR="003E5709" w:rsidRPr="00503989" w:rsidRDefault="00514058" w:rsidP="003E5709">
      <w:pPr>
        <w:spacing w:before="100" w:beforeAutospacing="1" w:after="100" w:afterAutospacing="1"/>
        <w:ind w:left="720"/>
        <w:jc w:val="both"/>
      </w:pPr>
      <w:r>
        <w:rPr>
          <w:rFonts w:ascii="Calibri" w:hAnsi="Calibri" w:cs="Calibri"/>
          <w:sz w:val="22"/>
          <w:szCs w:val="22"/>
        </w:rPr>
        <w:t xml:space="preserve">Fraud, collusion, corruption, and conflicts of interest are present risks in procurement in many industries and organizations around the world. </w:t>
      </w:r>
      <w:r w:rsidR="003E5709" w:rsidRPr="00503989">
        <w:rPr>
          <w:rFonts w:ascii="Calibri" w:hAnsi="Calibri" w:cs="Calibri"/>
          <w:sz w:val="22"/>
          <w:szCs w:val="22"/>
        </w:rPr>
        <w:t xml:space="preserve">This session </w:t>
      </w:r>
      <w:r>
        <w:rPr>
          <w:rFonts w:ascii="Calibri" w:hAnsi="Calibri" w:cs="Calibri"/>
          <w:sz w:val="22"/>
          <w:szCs w:val="22"/>
        </w:rPr>
        <w:t xml:space="preserve">distills the insights from more than a decade of World Bank’s investigations. It focuses on </w:t>
      </w:r>
      <w:r w:rsidR="003E5709" w:rsidRPr="00503989">
        <w:rPr>
          <w:rFonts w:ascii="Calibri" w:hAnsi="Calibri" w:cs="Calibri"/>
          <w:sz w:val="22"/>
          <w:szCs w:val="22"/>
        </w:rPr>
        <w:t>how schemes are organized</w:t>
      </w:r>
      <w:r>
        <w:rPr>
          <w:rFonts w:ascii="Calibri" w:hAnsi="Calibri" w:cs="Calibri"/>
          <w:sz w:val="22"/>
          <w:szCs w:val="22"/>
        </w:rPr>
        <w:t xml:space="preserve"> as well as </w:t>
      </w:r>
      <w:r w:rsidR="003E5709" w:rsidRPr="00503989">
        <w:rPr>
          <w:rFonts w:ascii="Calibri" w:hAnsi="Calibri" w:cs="Calibri"/>
          <w:sz w:val="22"/>
          <w:szCs w:val="22"/>
        </w:rPr>
        <w:t xml:space="preserve">the warning signs (red flags) procurement </w:t>
      </w:r>
      <w:r>
        <w:rPr>
          <w:rFonts w:ascii="Calibri" w:hAnsi="Calibri" w:cs="Calibri"/>
          <w:sz w:val="22"/>
          <w:szCs w:val="22"/>
        </w:rPr>
        <w:t>specialists</w:t>
      </w:r>
      <w:r w:rsidR="003E5709" w:rsidRPr="00503989">
        <w:rPr>
          <w:rFonts w:ascii="Calibri" w:hAnsi="Calibri" w:cs="Calibri"/>
          <w:sz w:val="22"/>
          <w:szCs w:val="22"/>
        </w:rPr>
        <w:t xml:space="preserve"> should </w:t>
      </w:r>
      <w:r>
        <w:rPr>
          <w:rFonts w:ascii="Calibri" w:hAnsi="Calibri" w:cs="Calibri"/>
          <w:sz w:val="22"/>
          <w:szCs w:val="22"/>
        </w:rPr>
        <w:t>be able to identify</w:t>
      </w:r>
      <w:r w:rsidR="003E5709" w:rsidRPr="00503989">
        <w:rPr>
          <w:rFonts w:ascii="Calibri" w:hAnsi="Calibri" w:cs="Calibri"/>
          <w:sz w:val="22"/>
          <w:szCs w:val="22"/>
        </w:rPr>
        <w:t>.</w:t>
      </w:r>
    </w:p>
    <w:p w14:paraId="344E7CAD" w14:textId="77777777" w:rsidR="003E5709" w:rsidRPr="00926A6B" w:rsidRDefault="003E5709" w:rsidP="003E5709">
      <w:pPr>
        <w:spacing w:before="100" w:beforeAutospacing="1"/>
        <w:jc w:val="both"/>
        <w:rPr>
          <w:rFonts w:ascii="Calibri" w:hAnsi="Calibri" w:cs="Calibri"/>
          <w:b/>
          <w:bCs/>
          <w:color w:val="833C0B" w:themeColor="accent2" w:themeShade="80"/>
          <w:sz w:val="22"/>
          <w:szCs w:val="22"/>
        </w:rPr>
      </w:pPr>
      <w:r w:rsidRPr="00926A6B">
        <w:rPr>
          <w:rFonts w:ascii="Calibri" w:hAnsi="Calibri" w:cs="Calibri"/>
          <w:b/>
          <w:bCs/>
          <w:color w:val="833C0B" w:themeColor="accent2" w:themeShade="80"/>
          <w:sz w:val="22"/>
          <w:szCs w:val="22"/>
        </w:rPr>
        <w:tab/>
        <w:t xml:space="preserve">Positive and Negative Assurances Over the Integrity </w:t>
      </w:r>
      <w:r w:rsidR="004F5918" w:rsidRPr="00926A6B">
        <w:rPr>
          <w:rFonts w:ascii="Calibri" w:hAnsi="Calibri" w:cs="Calibri"/>
          <w:b/>
          <w:bCs/>
          <w:color w:val="833C0B" w:themeColor="accent2" w:themeShade="80"/>
          <w:sz w:val="22"/>
          <w:szCs w:val="22"/>
        </w:rPr>
        <w:t>in Public</w:t>
      </w:r>
      <w:r w:rsidR="004A7A8E" w:rsidRPr="00926A6B">
        <w:rPr>
          <w:rFonts w:ascii="Calibri" w:hAnsi="Calibri" w:cs="Calibri"/>
          <w:b/>
          <w:bCs/>
          <w:color w:val="833C0B" w:themeColor="accent2" w:themeShade="80"/>
          <w:sz w:val="22"/>
          <w:szCs w:val="22"/>
        </w:rPr>
        <w:t xml:space="preserve"> </w:t>
      </w:r>
      <w:r w:rsidRPr="00926A6B">
        <w:rPr>
          <w:rFonts w:ascii="Calibri" w:hAnsi="Calibri" w:cs="Calibri"/>
          <w:b/>
          <w:bCs/>
          <w:color w:val="833C0B" w:themeColor="accent2" w:themeShade="80"/>
          <w:sz w:val="22"/>
          <w:szCs w:val="22"/>
        </w:rPr>
        <w:t>Procurement</w:t>
      </w:r>
    </w:p>
    <w:p w14:paraId="4211C0A1" w14:textId="77777777" w:rsidR="004A7A8E" w:rsidRPr="0074550E" w:rsidRDefault="00A15003" w:rsidP="0074550E">
      <w:pPr>
        <w:spacing w:before="100" w:beforeAutospacing="1" w:after="100" w:afterAutospacing="1"/>
        <w:ind w:left="720"/>
        <w:jc w:val="both"/>
        <w:rPr>
          <w:rFonts w:ascii="Calibri" w:hAnsi="Calibri" w:cs="Calibri"/>
          <w:b/>
          <w:bCs/>
          <w:sz w:val="22"/>
          <w:szCs w:val="22"/>
        </w:rPr>
      </w:pPr>
      <w:r w:rsidRPr="00503989">
        <w:rPr>
          <w:rFonts w:ascii="Calibri" w:hAnsi="Calibri" w:cs="Calibri"/>
          <w:sz w:val="22"/>
          <w:szCs w:val="22"/>
        </w:rPr>
        <w:t xml:space="preserve">When fraud and corruption occurs, critical controls are often overridden or missing. This session </w:t>
      </w:r>
      <w:r w:rsidR="00514058">
        <w:rPr>
          <w:rFonts w:ascii="Calibri" w:hAnsi="Calibri" w:cs="Calibri"/>
          <w:sz w:val="22"/>
          <w:szCs w:val="22"/>
        </w:rPr>
        <w:t xml:space="preserve">explores </w:t>
      </w:r>
      <w:r w:rsidRPr="00503989">
        <w:rPr>
          <w:rFonts w:ascii="Calibri" w:hAnsi="Calibri" w:cs="Calibri"/>
          <w:sz w:val="22"/>
          <w:szCs w:val="22"/>
        </w:rPr>
        <w:t xml:space="preserve">what </w:t>
      </w:r>
      <w:r w:rsidR="00514058">
        <w:rPr>
          <w:rFonts w:ascii="Calibri" w:hAnsi="Calibri" w:cs="Calibri"/>
          <w:sz w:val="22"/>
          <w:szCs w:val="22"/>
        </w:rPr>
        <w:t>these</w:t>
      </w:r>
      <w:r w:rsidRPr="00503989">
        <w:rPr>
          <w:rFonts w:ascii="Calibri" w:hAnsi="Calibri" w:cs="Calibri"/>
          <w:sz w:val="22"/>
          <w:szCs w:val="22"/>
        </w:rPr>
        <w:t xml:space="preserve"> controls are and what managers overseeing public procurement processes </w:t>
      </w:r>
      <w:r w:rsidR="003A2FC1">
        <w:rPr>
          <w:rFonts w:ascii="Calibri" w:hAnsi="Calibri" w:cs="Calibri"/>
          <w:sz w:val="22"/>
          <w:szCs w:val="22"/>
        </w:rPr>
        <w:t>can</w:t>
      </w:r>
      <w:r w:rsidRPr="00503989">
        <w:rPr>
          <w:rFonts w:ascii="Calibri" w:hAnsi="Calibri" w:cs="Calibri"/>
          <w:sz w:val="22"/>
          <w:szCs w:val="22"/>
        </w:rPr>
        <w:t xml:space="preserve"> do to obtain reasonable assurances that procurement process</w:t>
      </w:r>
      <w:r w:rsidR="00514058">
        <w:rPr>
          <w:rFonts w:ascii="Calibri" w:hAnsi="Calibri" w:cs="Calibri"/>
          <w:sz w:val="22"/>
          <w:szCs w:val="22"/>
        </w:rPr>
        <w:t>es</w:t>
      </w:r>
      <w:r w:rsidRPr="00503989">
        <w:rPr>
          <w:rFonts w:ascii="Calibri" w:hAnsi="Calibri" w:cs="Calibri"/>
          <w:sz w:val="22"/>
          <w:szCs w:val="22"/>
        </w:rPr>
        <w:t xml:space="preserve"> </w:t>
      </w:r>
      <w:r w:rsidR="00514058">
        <w:rPr>
          <w:rFonts w:ascii="Calibri" w:hAnsi="Calibri" w:cs="Calibri"/>
          <w:sz w:val="22"/>
          <w:szCs w:val="22"/>
        </w:rPr>
        <w:t>are</w:t>
      </w:r>
      <w:r w:rsidRPr="00503989">
        <w:rPr>
          <w:rFonts w:ascii="Calibri" w:hAnsi="Calibri" w:cs="Calibri"/>
          <w:sz w:val="22"/>
          <w:szCs w:val="22"/>
        </w:rPr>
        <w:t xml:space="preserve"> fair and free of fraud and corruption. </w:t>
      </w:r>
    </w:p>
    <w:p w14:paraId="3E17BAC7" w14:textId="77777777" w:rsidR="003E5709" w:rsidRPr="00926A6B" w:rsidRDefault="003E5709" w:rsidP="003E5709">
      <w:pPr>
        <w:spacing w:before="100" w:beforeAutospacing="1"/>
        <w:jc w:val="both"/>
        <w:rPr>
          <w:color w:val="833C0B" w:themeColor="accent2" w:themeShade="80"/>
        </w:rPr>
      </w:pPr>
      <w:r w:rsidRPr="00926A6B">
        <w:rPr>
          <w:rFonts w:ascii="Calibri" w:hAnsi="Calibri" w:cs="Calibri"/>
          <w:b/>
          <w:bCs/>
          <w:color w:val="833C0B" w:themeColor="accent2" w:themeShade="80"/>
          <w:sz w:val="22"/>
          <w:szCs w:val="22"/>
        </w:rPr>
        <w:tab/>
        <w:t>Embedding Red Flags into Procurement Reviews</w:t>
      </w:r>
    </w:p>
    <w:p w14:paraId="2F65396A" w14:textId="77777777" w:rsidR="003E5709" w:rsidRPr="00503989" w:rsidRDefault="00514058" w:rsidP="003A2FC1">
      <w:pPr>
        <w:spacing w:before="100" w:beforeAutospacing="1" w:after="100" w:afterAutospacing="1"/>
        <w:ind w:left="720"/>
        <w:jc w:val="both"/>
      </w:pPr>
      <w:r>
        <w:rPr>
          <w:rFonts w:ascii="Calibri" w:hAnsi="Calibri" w:cs="Calibri"/>
          <w:sz w:val="22"/>
          <w:szCs w:val="22"/>
        </w:rPr>
        <w:t xml:space="preserve">An important aspect of procurement oversight is the period review of transactions to ensure they are compliant with the prevailing policies and procedures. However, such reviews and standard audits have in many environments proven insufficient to detect well-established indicators of fraud and corruption. In this session, the </w:t>
      </w:r>
      <w:r w:rsidR="003E5709" w:rsidRPr="00503989">
        <w:rPr>
          <w:rFonts w:ascii="Calibri" w:hAnsi="Calibri" w:cs="Calibri"/>
          <w:sz w:val="22"/>
          <w:szCs w:val="22"/>
        </w:rPr>
        <w:t xml:space="preserve">participants will first identify </w:t>
      </w:r>
      <w:r w:rsidR="003A2FC1">
        <w:rPr>
          <w:rFonts w:ascii="Calibri" w:hAnsi="Calibri" w:cs="Calibri"/>
          <w:sz w:val="22"/>
          <w:szCs w:val="22"/>
        </w:rPr>
        <w:t xml:space="preserve">typically procured items with high integrity risks, and then develop the Terms of Reference for a red flag procurement review designed to identify transactions with misconduct. </w:t>
      </w:r>
    </w:p>
    <w:p w14:paraId="5958582B" w14:textId="77777777" w:rsidR="003E5709" w:rsidRPr="00503989" w:rsidRDefault="003E5709">
      <w:pPr>
        <w:spacing w:after="160" w:line="259" w:lineRule="auto"/>
      </w:pPr>
      <w:r w:rsidRPr="00503989">
        <w:br w:type="page"/>
      </w:r>
    </w:p>
    <w:p w14:paraId="2D3B6075" w14:textId="77777777" w:rsidR="003E5709" w:rsidRPr="00503989" w:rsidRDefault="0074550E" w:rsidP="00514058">
      <w:pPr>
        <w:shd w:val="clear" w:color="auto" w:fill="000000" w:themeFill="text1"/>
        <w:spacing w:before="100" w:beforeAutospacing="1" w:after="100" w:afterAutospacing="1"/>
        <w:jc w:val="both"/>
        <w:rPr>
          <w:rFonts w:ascii="Calibri" w:hAnsi="Calibri" w:cs="Calibri"/>
          <w:b/>
          <w:bCs/>
          <w:sz w:val="28"/>
          <w:szCs w:val="28"/>
        </w:rPr>
      </w:pPr>
      <w:r>
        <w:rPr>
          <w:rFonts w:ascii="Calibri" w:hAnsi="Calibri" w:cs="Calibri"/>
          <w:b/>
          <w:bCs/>
          <w:sz w:val="28"/>
          <w:szCs w:val="28"/>
        </w:rPr>
        <w:lastRenderedPageBreak/>
        <w:t>Day 2</w:t>
      </w:r>
    </w:p>
    <w:p w14:paraId="59F0457D" w14:textId="77777777" w:rsidR="003E5709" w:rsidRPr="00926A6B" w:rsidRDefault="003E5709" w:rsidP="004A7A8E">
      <w:pPr>
        <w:spacing w:before="100" w:beforeAutospacing="1"/>
        <w:jc w:val="both"/>
        <w:rPr>
          <w:rFonts w:ascii="Calibri" w:hAnsi="Calibri" w:cs="Calibri"/>
          <w:b/>
          <w:bCs/>
          <w:color w:val="833C0B" w:themeColor="accent2" w:themeShade="80"/>
          <w:sz w:val="22"/>
          <w:szCs w:val="22"/>
        </w:rPr>
      </w:pPr>
      <w:r w:rsidRPr="00926A6B">
        <w:rPr>
          <w:rFonts w:ascii="Calibri" w:hAnsi="Calibri" w:cs="Calibri"/>
          <w:b/>
          <w:bCs/>
          <w:color w:val="833C0B" w:themeColor="accent2" w:themeShade="80"/>
          <w:sz w:val="22"/>
          <w:szCs w:val="22"/>
        </w:rPr>
        <w:tab/>
        <w:t>Conducting Procurement Integrity Due Diligence</w:t>
      </w:r>
    </w:p>
    <w:p w14:paraId="71A6B635" w14:textId="77777777" w:rsidR="003E5709" w:rsidRPr="00503989" w:rsidRDefault="003A2FC1" w:rsidP="004A7A8E">
      <w:pPr>
        <w:spacing w:before="100" w:beforeAutospacing="1" w:after="100" w:afterAutospacing="1"/>
        <w:ind w:left="720"/>
        <w:jc w:val="both"/>
        <w:rPr>
          <w:rFonts w:ascii="Calibri" w:hAnsi="Calibri" w:cs="Calibri"/>
          <w:sz w:val="22"/>
          <w:szCs w:val="22"/>
        </w:rPr>
      </w:pPr>
      <w:r>
        <w:rPr>
          <w:rFonts w:ascii="Calibri" w:hAnsi="Calibri" w:cs="Calibri"/>
          <w:sz w:val="22"/>
          <w:szCs w:val="22"/>
        </w:rPr>
        <w:t xml:space="preserve">Empirical evidence shows that a review of bids can be an effective control to detect fraud and collusion. </w:t>
      </w:r>
      <w:r w:rsidR="003E5709" w:rsidRPr="00503989">
        <w:rPr>
          <w:rFonts w:ascii="Calibri" w:hAnsi="Calibri" w:cs="Calibri"/>
          <w:sz w:val="22"/>
          <w:szCs w:val="22"/>
        </w:rPr>
        <w:t xml:space="preserve">This session will explain the concept of integrity due diligence </w:t>
      </w:r>
      <w:r>
        <w:rPr>
          <w:rFonts w:ascii="Calibri" w:hAnsi="Calibri" w:cs="Calibri"/>
          <w:sz w:val="22"/>
          <w:szCs w:val="22"/>
        </w:rPr>
        <w:t>in public procurement</w:t>
      </w:r>
      <w:r w:rsidR="00FE2F37">
        <w:rPr>
          <w:rFonts w:ascii="Calibri" w:hAnsi="Calibri" w:cs="Calibri"/>
          <w:sz w:val="22"/>
          <w:szCs w:val="22"/>
        </w:rPr>
        <w:t>,</w:t>
      </w:r>
      <w:r>
        <w:rPr>
          <w:rFonts w:ascii="Calibri" w:hAnsi="Calibri" w:cs="Calibri"/>
          <w:sz w:val="22"/>
          <w:szCs w:val="22"/>
        </w:rPr>
        <w:t xml:space="preserve"> how it is undertaken</w:t>
      </w:r>
      <w:r w:rsidR="00FE2F37">
        <w:rPr>
          <w:rFonts w:ascii="Calibri" w:hAnsi="Calibri" w:cs="Calibri"/>
          <w:sz w:val="22"/>
          <w:szCs w:val="22"/>
        </w:rPr>
        <w:t>, and</w:t>
      </w:r>
      <w:r>
        <w:rPr>
          <w:rFonts w:ascii="Calibri" w:hAnsi="Calibri" w:cs="Calibri"/>
          <w:sz w:val="22"/>
          <w:szCs w:val="22"/>
        </w:rPr>
        <w:t xml:space="preserve"> </w:t>
      </w:r>
      <w:r w:rsidR="00FE2F37">
        <w:rPr>
          <w:rFonts w:ascii="Calibri" w:hAnsi="Calibri" w:cs="Calibri"/>
          <w:sz w:val="22"/>
          <w:szCs w:val="22"/>
        </w:rPr>
        <w:t xml:space="preserve">the various types </w:t>
      </w:r>
      <w:r>
        <w:rPr>
          <w:rFonts w:ascii="Calibri" w:hAnsi="Calibri" w:cs="Calibri"/>
          <w:sz w:val="22"/>
          <w:szCs w:val="22"/>
        </w:rPr>
        <w:t xml:space="preserve">of anomalies, red flags, and </w:t>
      </w:r>
      <w:r w:rsidR="003E5709" w:rsidRPr="00503989">
        <w:rPr>
          <w:rFonts w:ascii="Calibri" w:hAnsi="Calibri" w:cs="Calibri"/>
          <w:sz w:val="22"/>
          <w:szCs w:val="22"/>
        </w:rPr>
        <w:t xml:space="preserve">dilemmas </w:t>
      </w:r>
      <w:r>
        <w:rPr>
          <w:rFonts w:ascii="Calibri" w:hAnsi="Calibri" w:cs="Calibri"/>
          <w:sz w:val="22"/>
          <w:szCs w:val="22"/>
        </w:rPr>
        <w:t>present in the evaluation of bids</w:t>
      </w:r>
      <w:r w:rsidR="003E5709" w:rsidRPr="00503989">
        <w:rPr>
          <w:rFonts w:ascii="Calibri" w:hAnsi="Calibri" w:cs="Calibri"/>
          <w:sz w:val="22"/>
          <w:szCs w:val="22"/>
        </w:rPr>
        <w:t>.</w:t>
      </w:r>
    </w:p>
    <w:p w14:paraId="23A8FB61" w14:textId="77777777" w:rsidR="003E5709" w:rsidRPr="00926A6B" w:rsidRDefault="004A7A8E" w:rsidP="004A7A8E">
      <w:pPr>
        <w:spacing w:before="100" w:beforeAutospacing="1"/>
        <w:rPr>
          <w:rFonts w:ascii="Calibri" w:hAnsi="Calibri" w:cs="Calibri"/>
          <w:b/>
          <w:bCs/>
          <w:color w:val="833C0B" w:themeColor="accent2" w:themeShade="80"/>
          <w:sz w:val="22"/>
          <w:szCs w:val="22"/>
        </w:rPr>
      </w:pPr>
      <w:r w:rsidRPr="00926A6B">
        <w:rPr>
          <w:rFonts w:ascii="Calibri" w:hAnsi="Calibri" w:cs="Calibri"/>
          <w:b/>
          <w:color w:val="833C0B" w:themeColor="accent2" w:themeShade="80"/>
          <w:sz w:val="22"/>
          <w:szCs w:val="22"/>
        </w:rPr>
        <w:tab/>
      </w:r>
      <w:r w:rsidR="003E5709" w:rsidRPr="00926A6B">
        <w:rPr>
          <w:rFonts w:ascii="Calibri" w:hAnsi="Calibri" w:cs="Calibri"/>
          <w:b/>
          <w:bCs/>
          <w:color w:val="833C0B" w:themeColor="accent2" w:themeShade="80"/>
          <w:sz w:val="22"/>
          <w:szCs w:val="22"/>
        </w:rPr>
        <w:t>Conducting Integrity Due Diligence on private sector parties</w:t>
      </w:r>
    </w:p>
    <w:p w14:paraId="24C06FE9" w14:textId="77777777" w:rsidR="003E5709" w:rsidRPr="00503989" w:rsidRDefault="003E5709" w:rsidP="003A2FC1">
      <w:pPr>
        <w:spacing w:before="100" w:beforeAutospacing="1" w:after="100" w:afterAutospacing="1"/>
        <w:ind w:left="720"/>
        <w:jc w:val="both"/>
      </w:pPr>
      <w:r w:rsidRPr="00503989">
        <w:rPr>
          <w:rFonts w:ascii="Calibri" w:hAnsi="Calibri" w:cs="Calibri"/>
          <w:sz w:val="22"/>
          <w:szCs w:val="22"/>
        </w:rPr>
        <w:t>Integrity Due Diligence is typically carried out in connection with mergers and acquisitions as well as investments in private sector entities, including in P</w:t>
      </w:r>
      <w:r w:rsidR="003A2FC1">
        <w:rPr>
          <w:rFonts w:ascii="Calibri" w:hAnsi="Calibri" w:cs="Calibri"/>
          <w:sz w:val="22"/>
          <w:szCs w:val="22"/>
        </w:rPr>
        <w:t xml:space="preserve">ublic-Private </w:t>
      </w:r>
      <w:r w:rsidRPr="00503989">
        <w:rPr>
          <w:rFonts w:ascii="Calibri" w:hAnsi="Calibri" w:cs="Calibri"/>
          <w:sz w:val="22"/>
          <w:szCs w:val="22"/>
        </w:rPr>
        <w:t>P</w:t>
      </w:r>
      <w:r w:rsidR="003A2FC1">
        <w:rPr>
          <w:rFonts w:ascii="Calibri" w:hAnsi="Calibri" w:cs="Calibri"/>
          <w:sz w:val="22"/>
          <w:szCs w:val="22"/>
        </w:rPr>
        <w:t>artnership</w:t>
      </w:r>
      <w:r w:rsidRPr="00503989">
        <w:rPr>
          <w:rFonts w:ascii="Calibri" w:hAnsi="Calibri" w:cs="Calibri"/>
          <w:sz w:val="22"/>
          <w:szCs w:val="22"/>
        </w:rPr>
        <w:t>s. This session introduce</w:t>
      </w:r>
      <w:r w:rsidR="003A2FC1">
        <w:rPr>
          <w:rFonts w:ascii="Calibri" w:hAnsi="Calibri" w:cs="Calibri"/>
          <w:sz w:val="22"/>
          <w:szCs w:val="22"/>
        </w:rPr>
        <w:t>s</w:t>
      </w:r>
      <w:r w:rsidRPr="00503989">
        <w:rPr>
          <w:rFonts w:ascii="Calibri" w:hAnsi="Calibri" w:cs="Calibri"/>
          <w:sz w:val="22"/>
          <w:szCs w:val="22"/>
        </w:rPr>
        <w:t xml:space="preserve"> the participants to some of the typical integrity risks in the appraisal of private sector entities, their governance, transactions, legal history, </w:t>
      </w:r>
      <w:r w:rsidRPr="003A2FC1">
        <w:rPr>
          <w:rFonts w:ascii="Calibri" w:hAnsi="Calibri" w:cs="Calibri"/>
          <w:i/>
          <w:sz w:val="22"/>
          <w:szCs w:val="22"/>
        </w:rPr>
        <w:t>etc.</w:t>
      </w:r>
    </w:p>
    <w:p w14:paraId="059215EA" w14:textId="77777777" w:rsidR="004A7A8E" w:rsidRPr="00926A6B" w:rsidRDefault="004A7A8E" w:rsidP="004A7A8E">
      <w:pPr>
        <w:spacing w:before="100" w:beforeAutospacing="1"/>
        <w:jc w:val="both"/>
        <w:rPr>
          <w:color w:val="833C0B" w:themeColor="accent2" w:themeShade="80"/>
        </w:rPr>
      </w:pPr>
      <w:r w:rsidRPr="00926A6B">
        <w:rPr>
          <w:rFonts w:ascii="Calibri" w:hAnsi="Calibri" w:cs="Calibri"/>
          <w:b/>
          <w:bCs/>
          <w:color w:val="833C0B" w:themeColor="accent2" w:themeShade="80"/>
          <w:sz w:val="22"/>
          <w:szCs w:val="22"/>
        </w:rPr>
        <w:tab/>
        <w:t>Practical Strategies and Approach</w:t>
      </w:r>
      <w:r w:rsidR="003A2FC1" w:rsidRPr="00926A6B">
        <w:rPr>
          <w:rFonts w:ascii="Calibri" w:hAnsi="Calibri" w:cs="Calibri"/>
          <w:b/>
          <w:bCs/>
          <w:color w:val="833C0B" w:themeColor="accent2" w:themeShade="80"/>
          <w:sz w:val="22"/>
          <w:szCs w:val="22"/>
        </w:rPr>
        <w:t>es</w:t>
      </w:r>
      <w:r w:rsidRPr="00926A6B">
        <w:rPr>
          <w:rFonts w:ascii="Calibri" w:hAnsi="Calibri" w:cs="Calibri"/>
          <w:b/>
          <w:bCs/>
          <w:color w:val="833C0B" w:themeColor="accent2" w:themeShade="80"/>
          <w:sz w:val="22"/>
          <w:szCs w:val="22"/>
        </w:rPr>
        <w:t xml:space="preserve"> to Fighting Misconduct in Public Procurement</w:t>
      </w:r>
    </w:p>
    <w:p w14:paraId="505F646F" w14:textId="77777777" w:rsidR="004A7A8E" w:rsidRPr="00503989" w:rsidRDefault="00FE2F37" w:rsidP="004A7A8E">
      <w:pPr>
        <w:spacing w:before="100" w:beforeAutospacing="1" w:after="100" w:afterAutospacing="1"/>
        <w:ind w:left="720"/>
        <w:jc w:val="both"/>
        <w:rPr>
          <w:rFonts w:ascii="Calibri" w:hAnsi="Calibri" w:cs="Calibri"/>
          <w:sz w:val="22"/>
          <w:szCs w:val="22"/>
        </w:rPr>
      </w:pPr>
      <w:r>
        <w:rPr>
          <w:rFonts w:ascii="Calibri" w:hAnsi="Calibri" w:cs="Calibri"/>
          <w:sz w:val="22"/>
          <w:szCs w:val="22"/>
        </w:rPr>
        <w:t xml:space="preserve">Much experimentation has taken place in recent years to identify effective measures to prevent and detect fraud and corruption in public procurement. </w:t>
      </w:r>
      <w:r w:rsidR="004A7A8E" w:rsidRPr="00503989">
        <w:rPr>
          <w:rFonts w:ascii="Calibri" w:hAnsi="Calibri" w:cs="Calibri"/>
          <w:sz w:val="22"/>
          <w:szCs w:val="22"/>
        </w:rPr>
        <w:t>This session give</w:t>
      </w:r>
      <w:r>
        <w:rPr>
          <w:rFonts w:ascii="Calibri" w:hAnsi="Calibri" w:cs="Calibri"/>
          <w:sz w:val="22"/>
          <w:szCs w:val="22"/>
        </w:rPr>
        <w:t>s</w:t>
      </w:r>
      <w:r w:rsidR="004A7A8E" w:rsidRPr="00503989">
        <w:rPr>
          <w:rFonts w:ascii="Calibri" w:hAnsi="Calibri" w:cs="Calibri"/>
          <w:sz w:val="22"/>
          <w:szCs w:val="22"/>
        </w:rPr>
        <w:t xml:space="preserve"> participants an overview over the different activity and entity level controls and external oversight mechanisms </w:t>
      </w:r>
      <w:r>
        <w:rPr>
          <w:rFonts w:ascii="Calibri" w:hAnsi="Calibri" w:cs="Calibri"/>
          <w:sz w:val="22"/>
          <w:szCs w:val="22"/>
        </w:rPr>
        <w:t>currently being used as well as their strengths and weaknesses.</w:t>
      </w:r>
    </w:p>
    <w:p w14:paraId="769CD987" w14:textId="77777777" w:rsidR="00C01D47" w:rsidRPr="00503989" w:rsidRDefault="00883682"/>
    <w:sectPr w:rsidR="00C01D47" w:rsidRPr="0050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09"/>
    <w:rsid w:val="003A2FC1"/>
    <w:rsid w:val="003E5709"/>
    <w:rsid w:val="004A7A8E"/>
    <w:rsid w:val="004F5918"/>
    <w:rsid w:val="00503989"/>
    <w:rsid w:val="00514058"/>
    <w:rsid w:val="005149CF"/>
    <w:rsid w:val="0074550E"/>
    <w:rsid w:val="00883682"/>
    <w:rsid w:val="00926A6B"/>
    <w:rsid w:val="00A15003"/>
    <w:rsid w:val="00A5351A"/>
    <w:rsid w:val="00AA6606"/>
    <w:rsid w:val="00C02B13"/>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43F0"/>
  <w15:chartTrackingRefBased/>
  <w15:docId w15:val="{EF028200-F2F7-416C-9710-F296EAE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709"/>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39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3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Hjorth Agerskov</dc:creator>
  <cp:keywords/>
  <dc:description/>
  <cp:lastModifiedBy>Utente Windows</cp:lastModifiedBy>
  <cp:revision>2</cp:revision>
  <cp:lastPrinted>2017-04-07T14:46:00Z</cp:lastPrinted>
  <dcterms:created xsi:type="dcterms:W3CDTF">2019-09-09T14:26:00Z</dcterms:created>
  <dcterms:modified xsi:type="dcterms:W3CDTF">2019-09-09T14:26:00Z</dcterms:modified>
</cp:coreProperties>
</file>