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6810F" w14:textId="77777777" w:rsidR="002C639C" w:rsidRDefault="00CE2A9B">
      <w:pPr>
        <w:rPr>
          <w:rFonts w:ascii="Times New Roman"/>
          <w:sz w:val="20"/>
        </w:rPr>
      </w:pPr>
      <w:r>
        <w:rPr>
          <w:noProof/>
          <w:lang w:val="it-IT" w:eastAsia="it-IT" w:bidi="ar-SA"/>
        </w:rPr>
        <w:drawing>
          <wp:anchor distT="0" distB="0" distL="0" distR="0" simplePos="0" relativeHeight="268432127" behindDoc="1" locked="0" layoutInCell="1" allowOverlap="1" wp14:anchorId="20CAABC0" wp14:editId="1A2B96BB">
            <wp:simplePos x="0" y="0"/>
            <wp:positionH relativeFrom="page">
              <wp:posOffset>4409059</wp:posOffset>
            </wp:positionH>
            <wp:positionV relativeFrom="page">
              <wp:posOffset>0</wp:posOffset>
            </wp:positionV>
            <wp:extent cx="3151505" cy="229374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151505" cy="2293746"/>
                    </a:xfrm>
                    <a:prstGeom prst="rect">
                      <a:avLst/>
                    </a:prstGeom>
                  </pic:spPr>
                </pic:pic>
              </a:graphicData>
            </a:graphic>
          </wp:anchor>
        </w:drawing>
      </w:r>
    </w:p>
    <w:p w14:paraId="4581E115" w14:textId="77777777" w:rsidR="002C639C" w:rsidRDefault="002C639C">
      <w:pPr>
        <w:rPr>
          <w:rFonts w:ascii="Times New Roman"/>
          <w:sz w:val="20"/>
        </w:rPr>
      </w:pPr>
    </w:p>
    <w:p w14:paraId="22A4CB28" w14:textId="77777777" w:rsidR="002C639C" w:rsidRDefault="002C639C">
      <w:pPr>
        <w:rPr>
          <w:rFonts w:ascii="Times New Roman"/>
          <w:sz w:val="20"/>
        </w:rPr>
      </w:pPr>
    </w:p>
    <w:p w14:paraId="27127FEB" w14:textId="77777777" w:rsidR="002C639C" w:rsidRDefault="002C639C">
      <w:pPr>
        <w:spacing w:before="3"/>
        <w:rPr>
          <w:rFonts w:ascii="Times New Roman"/>
          <w:sz w:val="14"/>
        </w:rPr>
      </w:pPr>
    </w:p>
    <w:p w14:paraId="0BC231AB" w14:textId="77777777" w:rsidR="002C639C" w:rsidRDefault="00CE2A9B">
      <w:pPr>
        <w:ind w:left="188"/>
        <w:rPr>
          <w:rFonts w:ascii="Times New Roman"/>
          <w:sz w:val="20"/>
        </w:rPr>
      </w:pPr>
      <w:r>
        <w:rPr>
          <w:rFonts w:ascii="Times New Roman"/>
          <w:noProof/>
          <w:sz w:val="20"/>
          <w:lang w:val="it-IT" w:eastAsia="it-IT" w:bidi="ar-SA"/>
        </w:rPr>
        <w:drawing>
          <wp:inline distT="0" distB="0" distL="0" distR="0" wp14:anchorId="15423D55" wp14:editId="29379E9A">
            <wp:extent cx="1563593" cy="57626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563593" cy="576262"/>
                    </a:xfrm>
                    <a:prstGeom prst="rect">
                      <a:avLst/>
                    </a:prstGeom>
                  </pic:spPr>
                </pic:pic>
              </a:graphicData>
            </a:graphic>
          </wp:inline>
        </w:drawing>
      </w:r>
    </w:p>
    <w:p w14:paraId="33F811B0" w14:textId="77777777" w:rsidR="002C639C" w:rsidRDefault="002C639C">
      <w:pPr>
        <w:rPr>
          <w:rFonts w:ascii="Times New Roman"/>
          <w:sz w:val="20"/>
        </w:rPr>
      </w:pPr>
    </w:p>
    <w:p w14:paraId="4ECB58FD" w14:textId="77777777" w:rsidR="002C639C" w:rsidRDefault="002C639C">
      <w:pPr>
        <w:rPr>
          <w:rFonts w:ascii="Times New Roman"/>
          <w:sz w:val="20"/>
        </w:rPr>
      </w:pPr>
    </w:p>
    <w:p w14:paraId="6A21C9C2" w14:textId="77777777" w:rsidR="002C639C" w:rsidRDefault="002C639C">
      <w:pPr>
        <w:rPr>
          <w:rFonts w:ascii="Times New Roman"/>
          <w:sz w:val="20"/>
        </w:rPr>
      </w:pPr>
    </w:p>
    <w:p w14:paraId="2D460E3D" w14:textId="77777777" w:rsidR="002C639C" w:rsidRDefault="002C639C">
      <w:pPr>
        <w:spacing w:before="9" w:after="1"/>
        <w:rPr>
          <w:rFonts w:ascii="Times New Roman"/>
          <w:sz w:val="15"/>
        </w:rPr>
      </w:pPr>
    </w:p>
    <w:tbl>
      <w:tblPr>
        <w:tblStyle w:val="TableNormal"/>
        <w:tblW w:w="0" w:type="auto"/>
        <w:tblInd w:w="172" w:type="dxa"/>
        <w:tblBorders>
          <w:top w:val="single" w:sz="24" w:space="0" w:color="800000"/>
          <w:left w:val="single" w:sz="24" w:space="0" w:color="800000"/>
          <w:bottom w:val="single" w:sz="24" w:space="0" w:color="800000"/>
          <w:right w:val="single" w:sz="24" w:space="0" w:color="800000"/>
          <w:insideH w:val="single" w:sz="24" w:space="0" w:color="800000"/>
          <w:insideV w:val="single" w:sz="24" w:space="0" w:color="800000"/>
        </w:tblBorders>
        <w:tblLayout w:type="fixed"/>
        <w:tblLook w:val="01E0" w:firstRow="1" w:lastRow="1" w:firstColumn="1" w:lastColumn="1" w:noHBand="0" w:noVBand="0"/>
      </w:tblPr>
      <w:tblGrid>
        <w:gridCol w:w="1820"/>
        <w:gridCol w:w="7759"/>
      </w:tblGrid>
      <w:tr w:rsidR="002C639C" w14:paraId="07E62887" w14:textId="77777777">
        <w:trPr>
          <w:trHeight w:val="650"/>
        </w:trPr>
        <w:tc>
          <w:tcPr>
            <w:tcW w:w="1820" w:type="dxa"/>
          </w:tcPr>
          <w:p w14:paraId="739D102D" w14:textId="0A89BEA1" w:rsidR="002C639C" w:rsidRDefault="00CE2A9B">
            <w:pPr>
              <w:pStyle w:val="TableParagraph"/>
              <w:spacing w:before="153"/>
              <w:ind w:left="109" w:right="48"/>
              <w:jc w:val="center"/>
              <w:rPr>
                <w:b/>
                <w:sz w:val="28"/>
              </w:rPr>
            </w:pPr>
            <w:r>
              <w:rPr>
                <w:b/>
                <w:color w:val="800000"/>
                <w:sz w:val="28"/>
              </w:rPr>
              <w:t>MODULE n.</w:t>
            </w:r>
            <w:r w:rsidR="008D1380">
              <w:rPr>
                <w:b/>
                <w:color w:val="800000"/>
                <w:sz w:val="28"/>
              </w:rPr>
              <w:t>2</w:t>
            </w:r>
            <w:bookmarkStart w:id="0" w:name="_GoBack"/>
            <w:bookmarkEnd w:id="0"/>
          </w:p>
        </w:tc>
        <w:tc>
          <w:tcPr>
            <w:tcW w:w="7759" w:type="dxa"/>
          </w:tcPr>
          <w:p w14:paraId="6B827C44" w14:textId="3985FA8A" w:rsidR="002C639C" w:rsidRDefault="00792EC2">
            <w:pPr>
              <w:pStyle w:val="TableParagraph"/>
              <w:spacing w:before="153"/>
              <w:ind w:left="108"/>
              <w:rPr>
                <w:sz w:val="28"/>
              </w:rPr>
            </w:pPr>
            <w:r w:rsidRPr="00792EC2">
              <w:rPr>
                <w:color w:val="800000"/>
                <w:sz w:val="28"/>
              </w:rPr>
              <w:t>Legal Background</w:t>
            </w:r>
          </w:p>
        </w:tc>
      </w:tr>
      <w:tr w:rsidR="002C639C" w14:paraId="5DAADEDE" w14:textId="77777777">
        <w:trPr>
          <w:trHeight w:val="818"/>
        </w:trPr>
        <w:tc>
          <w:tcPr>
            <w:tcW w:w="1820" w:type="dxa"/>
          </w:tcPr>
          <w:p w14:paraId="23AD8535" w14:textId="77777777" w:rsidR="002C639C" w:rsidRDefault="00CE2A9B">
            <w:pPr>
              <w:pStyle w:val="TableParagraph"/>
              <w:spacing w:before="237"/>
              <w:ind w:left="110" w:right="45"/>
              <w:jc w:val="center"/>
              <w:rPr>
                <w:b/>
                <w:sz w:val="28"/>
              </w:rPr>
            </w:pPr>
            <w:r>
              <w:rPr>
                <w:b/>
                <w:color w:val="800000"/>
                <w:sz w:val="28"/>
              </w:rPr>
              <w:t>LECTURER</w:t>
            </w:r>
          </w:p>
        </w:tc>
        <w:tc>
          <w:tcPr>
            <w:tcW w:w="7759" w:type="dxa"/>
          </w:tcPr>
          <w:p w14:paraId="52DC04A4" w14:textId="77777777" w:rsidR="002C639C" w:rsidRDefault="00CE2A9B">
            <w:pPr>
              <w:pStyle w:val="TableParagraph"/>
              <w:spacing w:before="237"/>
              <w:ind w:left="108"/>
              <w:rPr>
                <w:sz w:val="28"/>
              </w:rPr>
            </w:pPr>
            <w:r>
              <w:rPr>
                <w:color w:val="800000"/>
                <w:sz w:val="28"/>
              </w:rPr>
              <w:t>Robert ANDERSON</w:t>
            </w:r>
          </w:p>
        </w:tc>
      </w:tr>
      <w:tr w:rsidR="002C639C" w14:paraId="630EA960" w14:textId="77777777">
        <w:trPr>
          <w:trHeight w:val="684"/>
        </w:trPr>
        <w:tc>
          <w:tcPr>
            <w:tcW w:w="1820" w:type="dxa"/>
          </w:tcPr>
          <w:p w14:paraId="7F34DBF0" w14:textId="77777777" w:rsidR="002C639C" w:rsidRDefault="00CE2A9B">
            <w:pPr>
              <w:pStyle w:val="TableParagraph"/>
              <w:spacing w:line="341" w:lineRule="exact"/>
              <w:ind w:left="109" w:right="48"/>
              <w:jc w:val="center"/>
              <w:rPr>
                <w:b/>
                <w:sz w:val="28"/>
              </w:rPr>
            </w:pPr>
            <w:r>
              <w:rPr>
                <w:b/>
                <w:color w:val="800000"/>
                <w:sz w:val="28"/>
              </w:rPr>
              <w:t>LECTURE</w:t>
            </w:r>
          </w:p>
          <w:p w14:paraId="29E6789B" w14:textId="77777777" w:rsidR="002C639C" w:rsidRDefault="00CE2A9B">
            <w:pPr>
              <w:pStyle w:val="TableParagraph"/>
              <w:spacing w:line="323" w:lineRule="exact"/>
              <w:ind w:left="108" w:right="48"/>
              <w:jc w:val="center"/>
              <w:rPr>
                <w:b/>
                <w:sz w:val="28"/>
              </w:rPr>
            </w:pPr>
            <w:r>
              <w:rPr>
                <w:b/>
                <w:color w:val="800000"/>
                <w:sz w:val="28"/>
              </w:rPr>
              <w:t>TITLE</w:t>
            </w:r>
          </w:p>
        </w:tc>
        <w:tc>
          <w:tcPr>
            <w:tcW w:w="7759" w:type="dxa"/>
          </w:tcPr>
          <w:p w14:paraId="09AD93E0" w14:textId="77777777" w:rsidR="002C639C" w:rsidRDefault="00CE2A9B">
            <w:pPr>
              <w:pStyle w:val="TableParagraph"/>
              <w:spacing w:before="170"/>
              <w:ind w:left="108"/>
              <w:rPr>
                <w:sz w:val="28"/>
              </w:rPr>
            </w:pPr>
            <w:r>
              <w:rPr>
                <w:color w:val="800000"/>
                <w:sz w:val="28"/>
              </w:rPr>
              <w:t>Introduction to the WTO Agreement on Government Procurement</w:t>
            </w:r>
          </w:p>
        </w:tc>
      </w:tr>
      <w:tr w:rsidR="002C639C" w14:paraId="5DA17C63" w14:textId="77777777">
        <w:trPr>
          <w:trHeight w:val="3929"/>
        </w:trPr>
        <w:tc>
          <w:tcPr>
            <w:tcW w:w="1820" w:type="dxa"/>
          </w:tcPr>
          <w:p w14:paraId="4484C023" w14:textId="77777777" w:rsidR="002C639C" w:rsidRDefault="002C639C">
            <w:pPr>
              <w:pStyle w:val="TableParagraph"/>
              <w:rPr>
                <w:rFonts w:ascii="Times New Roman"/>
                <w:sz w:val="28"/>
              </w:rPr>
            </w:pPr>
          </w:p>
          <w:p w14:paraId="33CBC6A6" w14:textId="77777777" w:rsidR="002C639C" w:rsidRDefault="002C639C">
            <w:pPr>
              <w:pStyle w:val="TableParagraph"/>
              <w:rPr>
                <w:rFonts w:ascii="Times New Roman"/>
                <w:sz w:val="28"/>
              </w:rPr>
            </w:pPr>
          </w:p>
          <w:p w14:paraId="2B90902B" w14:textId="77777777" w:rsidR="002C639C" w:rsidRDefault="002C639C">
            <w:pPr>
              <w:pStyle w:val="TableParagraph"/>
              <w:rPr>
                <w:rFonts w:ascii="Times New Roman"/>
                <w:sz w:val="28"/>
              </w:rPr>
            </w:pPr>
          </w:p>
          <w:p w14:paraId="63F78E7F" w14:textId="77777777" w:rsidR="002C639C" w:rsidRDefault="002C639C">
            <w:pPr>
              <w:pStyle w:val="TableParagraph"/>
              <w:rPr>
                <w:rFonts w:ascii="Times New Roman"/>
                <w:sz w:val="28"/>
              </w:rPr>
            </w:pPr>
          </w:p>
          <w:p w14:paraId="2B2285EA" w14:textId="77777777" w:rsidR="002C639C" w:rsidRDefault="002C639C">
            <w:pPr>
              <w:pStyle w:val="TableParagraph"/>
              <w:rPr>
                <w:rFonts w:ascii="Times New Roman"/>
                <w:sz w:val="28"/>
              </w:rPr>
            </w:pPr>
          </w:p>
          <w:p w14:paraId="66782B6F" w14:textId="77777777" w:rsidR="002C639C" w:rsidRDefault="00CE2A9B">
            <w:pPr>
              <w:pStyle w:val="TableParagraph"/>
              <w:spacing w:before="183"/>
              <w:ind w:left="110" w:right="47"/>
              <w:jc w:val="center"/>
              <w:rPr>
                <w:b/>
                <w:sz w:val="28"/>
              </w:rPr>
            </w:pPr>
            <w:r>
              <w:rPr>
                <w:b/>
                <w:color w:val="800000"/>
                <w:sz w:val="28"/>
              </w:rPr>
              <w:t>OBJECTIVES</w:t>
            </w:r>
          </w:p>
        </w:tc>
        <w:tc>
          <w:tcPr>
            <w:tcW w:w="7759" w:type="dxa"/>
          </w:tcPr>
          <w:p w14:paraId="2B2741D4" w14:textId="77777777" w:rsidR="002C639C" w:rsidRDefault="00CE2A9B">
            <w:pPr>
              <w:pStyle w:val="TableParagraph"/>
              <w:numPr>
                <w:ilvl w:val="0"/>
                <w:numId w:val="2"/>
              </w:numPr>
              <w:tabs>
                <w:tab w:val="left" w:pos="426"/>
              </w:tabs>
              <w:spacing w:line="276" w:lineRule="auto"/>
              <w:ind w:right="44" w:hanging="249"/>
              <w:jc w:val="both"/>
              <w:rPr>
                <w:sz w:val="28"/>
              </w:rPr>
            </w:pPr>
            <w:r>
              <w:rPr>
                <w:color w:val="800000"/>
                <w:sz w:val="28"/>
              </w:rPr>
              <w:t>To familiarize participants with the history, objectives, core elements and recent renegotiation of the WTO Agreement on Government</w:t>
            </w:r>
            <w:r>
              <w:rPr>
                <w:color w:val="800000"/>
                <w:spacing w:val="-3"/>
                <w:sz w:val="28"/>
              </w:rPr>
              <w:t xml:space="preserve"> </w:t>
            </w:r>
            <w:r>
              <w:rPr>
                <w:color w:val="800000"/>
                <w:sz w:val="28"/>
              </w:rPr>
              <w:t>Procurement.</w:t>
            </w:r>
          </w:p>
          <w:p w14:paraId="1C152933" w14:textId="77777777" w:rsidR="002C639C" w:rsidRDefault="00CE2A9B">
            <w:pPr>
              <w:pStyle w:val="TableParagraph"/>
              <w:numPr>
                <w:ilvl w:val="0"/>
                <w:numId w:val="2"/>
              </w:numPr>
              <w:tabs>
                <w:tab w:val="left" w:pos="426"/>
              </w:tabs>
              <w:spacing w:line="276" w:lineRule="auto"/>
              <w:ind w:right="41" w:hanging="249"/>
              <w:jc w:val="both"/>
              <w:rPr>
                <w:sz w:val="28"/>
              </w:rPr>
            </w:pPr>
            <w:r>
              <w:rPr>
                <w:color w:val="800000"/>
                <w:sz w:val="28"/>
              </w:rPr>
              <w:t>To</w:t>
            </w:r>
            <w:r>
              <w:rPr>
                <w:color w:val="800000"/>
                <w:spacing w:val="-10"/>
                <w:sz w:val="28"/>
              </w:rPr>
              <w:t xml:space="preserve"> </w:t>
            </w:r>
            <w:r>
              <w:rPr>
                <w:color w:val="800000"/>
                <w:sz w:val="28"/>
              </w:rPr>
              <w:t>provide</w:t>
            </w:r>
            <w:r>
              <w:rPr>
                <w:color w:val="800000"/>
                <w:spacing w:val="-11"/>
                <w:sz w:val="28"/>
              </w:rPr>
              <w:t xml:space="preserve"> </w:t>
            </w:r>
            <w:r>
              <w:rPr>
                <w:color w:val="800000"/>
                <w:sz w:val="28"/>
              </w:rPr>
              <w:t>insight</w:t>
            </w:r>
            <w:r>
              <w:rPr>
                <w:color w:val="800000"/>
                <w:spacing w:val="-10"/>
                <w:sz w:val="28"/>
              </w:rPr>
              <w:t xml:space="preserve"> </w:t>
            </w:r>
            <w:r>
              <w:rPr>
                <w:color w:val="800000"/>
                <w:sz w:val="28"/>
              </w:rPr>
              <w:t>into</w:t>
            </w:r>
            <w:r>
              <w:rPr>
                <w:color w:val="800000"/>
                <w:spacing w:val="-9"/>
                <w:sz w:val="28"/>
              </w:rPr>
              <w:t xml:space="preserve"> </w:t>
            </w:r>
            <w:r>
              <w:rPr>
                <w:color w:val="800000"/>
                <w:sz w:val="28"/>
              </w:rPr>
              <w:t>the</w:t>
            </w:r>
            <w:r>
              <w:rPr>
                <w:color w:val="800000"/>
                <w:spacing w:val="-10"/>
                <w:sz w:val="28"/>
              </w:rPr>
              <w:t xml:space="preserve"> </w:t>
            </w:r>
            <w:r>
              <w:rPr>
                <w:color w:val="800000"/>
                <w:sz w:val="28"/>
              </w:rPr>
              <w:t>benefits</w:t>
            </w:r>
            <w:r>
              <w:rPr>
                <w:color w:val="800000"/>
                <w:spacing w:val="-9"/>
                <w:sz w:val="28"/>
              </w:rPr>
              <w:t xml:space="preserve"> </w:t>
            </w:r>
            <w:r>
              <w:rPr>
                <w:color w:val="800000"/>
                <w:sz w:val="28"/>
              </w:rPr>
              <w:t>and</w:t>
            </w:r>
            <w:r>
              <w:rPr>
                <w:color w:val="800000"/>
                <w:spacing w:val="-11"/>
                <w:sz w:val="28"/>
              </w:rPr>
              <w:t xml:space="preserve"> </w:t>
            </w:r>
            <w:r>
              <w:rPr>
                <w:color w:val="800000"/>
                <w:sz w:val="28"/>
              </w:rPr>
              <w:t>costs</w:t>
            </w:r>
            <w:r>
              <w:rPr>
                <w:color w:val="800000"/>
                <w:spacing w:val="-9"/>
                <w:sz w:val="28"/>
              </w:rPr>
              <w:t xml:space="preserve"> </w:t>
            </w:r>
            <w:r>
              <w:rPr>
                <w:color w:val="800000"/>
                <w:sz w:val="28"/>
              </w:rPr>
              <w:t>of</w:t>
            </w:r>
            <w:r>
              <w:rPr>
                <w:color w:val="800000"/>
                <w:spacing w:val="-9"/>
                <w:sz w:val="28"/>
              </w:rPr>
              <w:t xml:space="preserve"> </w:t>
            </w:r>
            <w:r>
              <w:rPr>
                <w:color w:val="800000"/>
                <w:sz w:val="28"/>
              </w:rPr>
              <w:t>accession</w:t>
            </w:r>
            <w:r>
              <w:rPr>
                <w:color w:val="800000"/>
                <w:spacing w:val="-10"/>
                <w:sz w:val="28"/>
              </w:rPr>
              <w:t xml:space="preserve"> </w:t>
            </w:r>
            <w:r>
              <w:rPr>
                <w:color w:val="800000"/>
                <w:sz w:val="28"/>
              </w:rPr>
              <w:t>to</w:t>
            </w:r>
            <w:r>
              <w:rPr>
                <w:color w:val="800000"/>
                <w:spacing w:val="-9"/>
                <w:sz w:val="28"/>
              </w:rPr>
              <w:t xml:space="preserve"> </w:t>
            </w:r>
            <w:r>
              <w:rPr>
                <w:color w:val="800000"/>
                <w:sz w:val="28"/>
              </w:rPr>
              <w:t>the Agreement, and especially its significance for transition and developing</w:t>
            </w:r>
            <w:r>
              <w:rPr>
                <w:color w:val="800000"/>
                <w:spacing w:val="-3"/>
                <w:sz w:val="28"/>
              </w:rPr>
              <w:t xml:space="preserve"> </w:t>
            </w:r>
            <w:r>
              <w:rPr>
                <w:color w:val="800000"/>
                <w:sz w:val="28"/>
              </w:rPr>
              <w:t>economies.</w:t>
            </w:r>
          </w:p>
          <w:p w14:paraId="72DA526E" w14:textId="77777777" w:rsidR="002C639C" w:rsidRDefault="00CE2A9B">
            <w:pPr>
              <w:pStyle w:val="TableParagraph"/>
              <w:numPr>
                <w:ilvl w:val="0"/>
                <w:numId w:val="2"/>
              </w:numPr>
              <w:tabs>
                <w:tab w:val="left" w:pos="426"/>
              </w:tabs>
              <w:spacing w:line="276" w:lineRule="auto"/>
              <w:ind w:right="43" w:hanging="249"/>
              <w:jc w:val="both"/>
              <w:rPr>
                <w:sz w:val="28"/>
              </w:rPr>
            </w:pPr>
            <w:r>
              <w:rPr>
                <w:color w:val="800000"/>
                <w:sz w:val="28"/>
              </w:rPr>
              <w:t>To make clear the affinity and complementarity of the Agreement with other international instruments, including the UNCITRAL</w:t>
            </w:r>
            <w:r>
              <w:rPr>
                <w:color w:val="800000"/>
                <w:spacing w:val="15"/>
                <w:sz w:val="28"/>
              </w:rPr>
              <w:t xml:space="preserve"> </w:t>
            </w:r>
            <w:r>
              <w:rPr>
                <w:color w:val="800000"/>
                <w:sz w:val="28"/>
              </w:rPr>
              <w:t>Model</w:t>
            </w:r>
            <w:r>
              <w:rPr>
                <w:color w:val="800000"/>
                <w:spacing w:val="15"/>
                <w:sz w:val="28"/>
              </w:rPr>
              <w:t xml:space="preserve"> </w:t>
            </w:r>
            <w:r>
              <w:rPr>
                <w:color w:val="800000"/>
                <w:sz w:val="28"/>
              </w:rPr>
              <w:t>Law,</w:t>
            </w:r>
            <w:r>
              <w:rPr>
                <w:color w:val="800000"/>
                <w:spacing w:val="14"/>
                <w:sz w:val="28"/>
              </w:rPr>
              <w:t xml:space="preserve"> </w:t>
            </w:r>
            <w:r>
              <w:rPr>
                <w:color w:val="800000"/>
                <w:sz w:val="28"/>
              </w:rPr>
              <w:t>the</w:t>
            </w:r>
            <w:r>
              <w:rPr>
                <w:color w:val="800000"/>
                <w:spacing w:val="15"/>
                <w:sz w:val="28"/>
              </w:rPr>
              <w:t xml:space="preserve"> </w:t>
            </w:r>
            <w:r>
              <w:rPr>
                <w:color w:val="800000"/>
                <w:sz w:val="28"/>
              </w:rPr>
              <w:t>World</w:t>
            </w:r>
            <w:r>
              <w:rPr>
                <w:color w:val="800000"/>
                <w:spacing w:val="14"/>
                <w:sz w:val="28"/>
              </w:rPr>
              <w:t xml:space="preserve"> </w:t>
            </w:r>
            <w:r>
              <w:rPr>
                <w:color w:val="800000"/>
                <w:sz w:val="28"/>
              </w:rPr>
              <w:t>Bank's</w:t>
            </w:r>
            <w:r>
              <w:rPr>
                <w:color w:val="800000"/>
                <w:spacing w:val="16"/>
                <w:sz w:val="28"/>
              </w:rPr>
              <w:t xml:space="preserve"> </w:t>
            </w:r>
            <w:r>
              <w:rPr>
                <w:color w:val="800000"/>
                <w:sz w:val="28"/>
              </w:rPr>
              <w:t>new</w:t>
            </w:r>
            <w:r>
              <w:rPr>
                <w:color w:val="800000"/>
                <w:spacing w:val="16"/>
                <w:sz w:val="28"/>
              </w:rPr>
              <w:t xml:space="preserve"> </w:t>
            </w:r>
            <w:r>
              <w:rPr>
                <w:color w:val="800000"/>
                <w:sz w:val="28"/>
              </w:rPr>
              <w:t>Procurement</w:t>
            </w:r>
          </w:p>
          <w:p w14:paraId="3C993C0C" w14:textId="77777777" w:rsidR="002C639C" w:rsidRDefault="00CE2A9B">
            <w:pPr>
              <w:pStyle w:val="TableParagraph"/>
              <w:ind w:left="425"/>
              <w:rPr>
                <w:sz w:val="28"/>
              </w:rPr>
            </w:pPr>
            <w:r>
              <w:rPr>
                <w:color w:val="800000"/>
                <w:sz w:val="28"/>
              </w:rPr>
              <w:t>Framework, and the work of EBRD.</w:t>
            </w:r>
          </w:p>
        </w:tc>
      </w:tr>
      <w:tr w:rsidR="002C639C" w14:paraId="7F402621" w14:textId="77777777">
        <w:trPr>
          <w:trHeight w:val="3406"/>
        </w:trPr>
        <w:tc>
          <w:tcPr>
            <w:tcW w:w="1820" w:type="dxa"/>
          </w:tcPr>
          <w:p w14:paraId="172DCE9D" w14:textId="77777777" w:rsidR="002C639C" w:rsidRDefault="002C639C">
            <w:pPr>
              <w:pStyle w:val="TableParagraph"/>
              <w:rPr>
                <w:rFonts w:ascii="Times New Roman"/>
                <w:sz w:val="28"/>
              </w:rPr>
            </w:pPr>
          </w:p>
          <w:p w14:paraId="535C1F0C" w14:textId="77777777" w:rsidR="002C639C" w:rsidRDefault="002C639C">
            <w:pPr>
              <w:pStyle w:val="TableParagraph"/>
              <w:rPr>
                <w:rFonts w:ascii="Times New Roman"/>
                <w:sz w:val="28"/>
              </w:rPr>
            </w:pPr>
          </w:p>
          <w:p w14:paraId="101FEA2D" w14:textId="77777777" w:rsidR="002C639C" w:rsidRDefault="002C639C">
            <w:pPr>
              <w:pStyle w:val="TableParagraph"/>
              <w:rPr>
                <w:rFonts w:ascii="Times New Roman"/>
                <w:sz w:val="28"/>
              </w:rPr>
            </w:pPr>
          </w:p>
          <w:p w14:paraId="33677985" w14:textId="77777777" w:rsidR="002C639C" w:rsidRDefault="002C639C">
            <w:pPr>
              <w:pStyle w:val="TableParagraph"/>
              <w:rPr>
                <w:rFonts w:ascii="Times New Roman"/>
                <w:sz w:val="28"/>
              </w:rPr>
            </w:pPr>
          </w:p>
          <w:p w14:paraId="23ADAD7F" w14:textId="77777777" w:rsidR="002C639C" w:rsidRDefault="00CE2A9B">
            <w:pPr>
              <w:pStyle w:val="TableParagraph"/>
              <w:spacing w:before="243"/>
              <w:ind w:left="110" w:right="48"/>
              <w:jc w:val="center"/>
              <w:rPr>
                <w:b/>
                <w:sz w:val="28"/>
              </w:rPr>
            </w:pPr>
            <w:r>
              <w:rPr>
                <w:b/>
                <w:color w:val="800000"/>
                <w:sz w:val="28"/>
              </w:rPr>
              <w:t>DESCRIPTION</w:t>
            </w:r>
          </w:p>
        </w:tc>
        <w:tc>
          <w:tcPr>
            <w:tcW w:w="7759" w:type="dxa"/>
          </w:tcPr>
          <w:p w14:paraId="58E5B43B" w14:textId="77777777" w:rsidR="002C639C" w:rsidRDefault="00CE2A9B">
            <w:pPr>
              <w:pStyle w:val="TableParagraph"/>
              <w:spacing w:before="91"/>
              <w:ind w:left="108" w:right="44"/>
              <w:jc w:val="both"/>
              <w:rPr>
                <w:sz w:val="24"/>
              </w:rPr>
            </w:pPr>
            <w:r>
              <w:rPr>
                <w:sz w:val="24"/>
              </w:rPr>
              <w:t>The module will begin with a lecture/presentation on the history, objectives, core elements and recent renegotiation of the WTO Agreement on Government Procurement. It will then proceed to a facilitated discussion of the potential benefits and the associated costs and challenges for developing/transition economies in joining the Agreement. Attention will be given to the role of the Agreement as an underpinning of good governance and procurement reforms, in addition to its significance for market access. Reference will be made to the recent experiences of Armenia, Moldova and Ukraine in joining the Agreement and to the ongoing accessions of Tajikistan and the Kyrgyz Republic. Participants will be encouraged to develop/share their own perspectives and relevant experiences.</w:t>
            </w:r>
          </w:p>
        </w:tc>
      </w:tr>
      <w:tr w:rsidR="002C639C" w14:paraId="2AEFC4C1" w14:textId="77777777">
        <w:trPr>
          <w:trHeight w:val="2148"/>
        </w:trPr>
        <w:tc>
          <w:tcPr>
            <w:tcW w:w="1820" w:type="dxa"/>
          </w:tcPr>
          <w:p w14:paraId="5B03B300" w14:textId="77777777" w:rsidR="002C639C" w:rsidRDefault="002C639C">
            <w:pPr>
              <w:pStyle w:val="TableParagraph"/>
              <w:rPr>
                <w:rFonts w:ascii="Times New Roman"/>
                <w:sz w:val="28"/>
              </w:rPr>
            </w:pPr>
          </w:p>
          <w:p w14:paraId="37F7004F" w14:textId="77777777" w:rsidR="002C639C" w:rsidRDefault="002C639C">
            <w:pPr>
              <w:pStyle w:val="TableParagraph"/>
              <w:spacing w:before="7"/>
              <w:rPr>
                <w:rFonts w:ascii="Times New Roman"/>
                <w:sz w:val="35"/>
              </w:rPr>
            </w:pPr>
          </w:p>
          <w:p w14:paraId="19D3B377" w14:textId="77777777" w:rsidR="002C639C" w:rsidRDefault="00CE2A9B">
            <w:pPr>
              <w:pStyle w:val="TableParagraph"/>
              <w:spacing w:before="1"/>
              <w:ind w:left="306" w:right="224" w:firstLine="254"/>
              <w:rPr>
                <w:b/>
                <w:sz w:val="28"/>
              </w:rPr>
            </w:pPr>
            <w:r>
              <w:rPr>
                <w:b/>
                <w:color w:val="800000"/>
                <w:sz w:val="28"/>
              </w:rPr>
              <w:t>CLASS MATERIAL</w:t>
            </w:r>
          </w:p>
        </w:tc>
        <w:tc>
          <w:tcPr>
            <w:tcW w:w="7759" w:type="dxa"/>
          </w:tcPr>
          <w:p w14:paraId="69988AC2" w14:textId="77777777" w:rsidR="002C639C" w:rsidRDefault="00CE2A9B">
            <w:pPr>
              <w:pStyle w:val="TableParagraph"/>
              <w:numPr>
                <w:ilvl w:val="0"/>
                <w:numId w:val="1"/>
              </w:numPr>
              <w:tabs>
                <w:tab w:val="left" w:pos="364"/>
              </w:tabs>
              <w:ind w:right="43" w:firstLine="0"/>
              <w:jc w:val="both"/>
            </w:pPr>
            <w:r>
              <w:t xml:space="preserve">Robert D. Anderson and Anna Caroline Müller, </w:t>
            </w:r>
            <w:proofErr w:type="gramStart"/>
            <w:r>
              <w:rPr>
                <w:i/>
              </w:rPr>
              <w:t>The</w:t>
            </w:r>
            <w:proofErr w:type="gramEnd"/>
            <w:r>
              <w:rPr>
                <w:i/>
              </w:rPr>
              <w:t xml:space="preserve"> revised WTO Agreement on Government</w:t>
            </w:r>
            <w:r>
              <w:rPr>
                <w:i/>
                <w:spacing w:val="-11"/>
              </w:rPr>
              <w:t xml:space="preserve"> </w:t>
            </w:r>
            <w:r>
              <w:rPr>
                <w:i/>
              </w:rPr>
              <w:t>Procurement</w:t>
            </w:r>
            <w:r>
              <w:rPr>
                <w:i/>
                <w:spacing w:val="-11"/>
              </w:rPr>
              <w:t xml:space="preserve"> </w:t>
            </w:r>
            <w:r>
              <w:rPr>
                <w:i/>
              </w:rPr>
              <w:t>(GPA):</w:t>
            </w:r>
            <w:r>
              <w:rPr>
                <w:i/>
                <w:spacing w:val="-12"/>
              </w:rPr>
              <w:t xml:space="preserve"> </w:t>
            </w:r>
            <w:r>
              <w:rPr>
                <w:i/>
              </w:rPr>
              <w:t>key</w:t>
            </w:r>
            <w:r>
              <w:rPr>
                <w:i/>
                <w:spacing w:val="-11"/>
              </w:rPr>
              <w:t xml:space="preserve"> </w:t>
            </w:r>
            <w:r>
              <w:rPr>
                <w:i/>
              </w:rPr>
              <w:t>design</w:t>
            </w:r>
            <w:r>
              <w:rPr>
                <w:i/>
                <w:spacing w:val="-11"/>
              </w:rPr>
              <w:t xml:space="preserve"> </w:t>
            </w:r>
            <w:r>
              <w:rPr>
                <w:i/>
              </w:rPr>
              <w:t>features</w:t>
            </w:r>
            <w:r>
              <w:rPr>
                <w:i/>
                <w:spacing w:val="-11"/>
              </w:rPr>
              <w:t xml:space="preserve"> </w:t>
            </w:r>
            <w:r>
              <w:rPr>
                <w:i/>
              </w:rPr>
              <w:t>and</w:t>
            </w:r>
            <w:r>
              <w:rPr>
                <w:i/>
                <w:spacing w:val="-11"/>
              </w:rPr>
              <w:t xml:space="preserve"> </w:t>
            </w:r>
            <w:r>
              <w:rPr>
                <w:i/>
              </w:rPr>
              <w:t>significance</w:t>
            </w:r>
            <w:r>
              <w:rPr>
                <w:i/>
                <w:spacing w:val="-12"/>
              </w:rPr>
              <w:t xml:space="preserve"> </w:t>
            </w:r>
            <w:r>
              <w:rPr>
                <w:i/>
              </w:rPr>
              <w:t>for</w:t>
            </w:r>
            <w:r>
              <w:rPr>
                <w:i/>
                <w:spacing w:val="-11"/>
              </w:rPr>
              <w:t xml:space="preserve"> </w:t>
            </w:r>
            <w:r>
              <w:rPr>
                <w:i/>
              </w:rPr>
              <w:t>global</w:t>
            </w:r>
            <w:r>
              <w:rPr>
                <w:i/>
                <w:spacing w:val="-11"/>
              </w:rPr>
              <w:t xml:space="preserve"> </w:t>
            </w:r>
            <w:r>
              <w:rPr>
                <w:i/>
              </w:rPr>
              <w:t xml:space="preserve">trade and development </w:t>
            </w:r>
            <w:r>
              <w:t>(</w:t>
            </w:r>
            <w:r>
              <w:rPr>
                <w:rFonts w:ascii="Verdana" w:hAnsi="Verdana"/>
                <w:sz w:val="18"/>
              </w:rPr>
              <w:t>WTO Working Paper ERSD-2017-04, 26 January</w:t>
            </w:r>
            <w:r>
              <w:rPr>
                <w:rFonts w:ascii="Verdana" w:hAnsi="Verdana"/>
                <w:spacing w:val="-15"/>
                <w:sz w:val="18"/>
              </w:rPr>
              <w:t xml:space="preserve"> </w:t>
            </w:r>
            <w:r>
              <w:rPr>
                <w:rFonts w:ascii="Verdana" w:hAnsi="Verdana"/>
                <w:sz w:val="18"/>
              </w:rPr>
              <w:t>2017</w:t>
            </w:r>
            <w:r>
              <w:t>).</w:t>
            </w:r>
          </w:p>
          <w:p w14:paraId="1C102CF7" w14:textId="77777777" w:rsidR="002C639C" w:rsidRDefault="00CE2A9B">
            <w:pPr>
              <w:pStyle w:val="TableParagraph"/>
              <w:numPr>
                <w:ilvl w:val="0"/>
                <w:numId w:val="1"/>
              </w:numPr>
              <w:tabs>
                <w:tab w:val="left" w:pos="349"/>
              </w:tabs>
              <w:ind w:right="41" w:firstLine="0"/>
              <w:jc w:val="both"/>
            </w:pPr>
            <w:r>
              <w:t xml:space="preserve">Robert D. Anderson, Philippe Pelletier, </w:t>
            </w:r>
            <w:proofErr w:type="spellStart"/>
            <w:r>
              <w:t>Kodjo</w:t>
            </w:r>
            <w:proofErr w:type="spellEnd"/>
            <w:r>
              <w:t xml:space="preserve"> </w:t>
            </w:r>
            <w:proofErr w:type="spellStart"/>
            <w:r>
              <w:t>Osei-Lah</w:t>
            </w:r>
            <w:proofErr w:type="spellEnd"/>
            <w:r>
              <w:t xml:space="preserve"> and Anna Caroline Müller, </w:t>
            </w:r>
            <w:r>
              <w:rPr>
                <w:i/>
              </w:rPr>
              <w:t xml:space="preserve">Assessing the Value of Future Accessions to the WTO Agreement on Government Procurement (GPA): Some New Data Sources, Provisional Estimates, and </w:t>
            </w:r>
            <w:proofErr w:type="gramStart"/>
            <w:r>
              <w:rPr>
                <w:i/>
              </w:rPr>
              <w:t>An</w:t>
            </w:r>
            <w:proofErr w:type="gramEnd"/>
            <w:r>
              <w:rPr>
                <w:i/>
              </w:rPr>
              <w:t xml:space="preserve"> Evaluative</w:t>
            </w:r>
            <w:r>
              <w:rPr>
                <w:i/>
                <w:spacing w:val="-15"/>
              </w:rPr>
              <w:t xml:space="preserve"> </w:t>
            </w:r>
            <w:r>
              <w:rPr>
                <w:i/>
              </w:rPr>
              <w:t>Framework</w:t>
            </w:r>
            <w:r>
              <w:rPr>
                <w:i/>
                <w:spacing w:val="-13"/>
              </w:rPr>
              <w:t xml:space="preserve"> </w:t>
            </w:r>
            <w:r>
              <w:rPr>
                <w:i/>
              </w:rPr>
              <w:t>for</w:t>
            </w:r>
            <w:r>
              <w:rPr>
                <w:i/>
                <w:spacing w:val="-14"/>
              </w:rPr>
              <w:t xml:space="preserve"> </w:t>
            </w:r>
            <w:r>
              <w:rPr>
                <w:i/>
              </w:rPr>
              <w:t>Individual</w:t>
            </w:r>
            <w:r>
              <w:rPr>
                <w:i/>
                <w:spacing w:val="-14"/>
              </w:rPr>
              <w:t xml:space="preserve"> </w:t>
            </w:r>
            <w:r>
              <w:rPr>
                <w:i/>
              </w:rPr>
              <w:t>WTO</w:t>
            </w:r>
            <w:r>
              <w:rPr>
                <w:i/>
                <w:spacing w:val="-15"/>
              </w:rPr>
              <w:t xml:space="preserve"> </w:t>
            </w:r>
            <w:r>
              <w:rPr>
                <w:i/>
              </w:rPr>
              <w:t>Members</w:t>
            </w:r>
            <w:r>
              <w:rPr>
                <w:i/>
                <w:spacing w:val="-16"/>
              </w:rPr>
              <w:t xml:space="preserve"> </w:t>
            </w:r>
            <w:r>
              <w:rPr>
                <w:i/>
              </w:rPr>
              <w:t>Considering</w:t>
            </w:r>
            <w:r>
              <w:rPr>
                <w:i/>
                <w:spacing w:val="-15"/>
              </w:rPr>
              <w:t xml:space="preserve"> </w:t>
            </w:r>
            <w:r>
              <w:rPr>
                <w:i/>
              </w:rPr>
              <w:t>Accession</w:t>
            </w:r>
            <w:r>
              <w:rPr>
                <w:i/>
                <w:spacing w:val="-13"/>
              </w:rPr>
              <w:t xml:space="preserve"> </w:t>
            </w:r>
            <w:r>
              <w:t>(WTO</w:t>
            </w:r>
            <w:r>
              <w:rPr>
                <w:spacing w:val="-13"/>
              </w:rPr>
              <w:t xml:space="preserve"> </w:t>
            </w:r>
            <w:r>
              <w:t>Staff</w:t>
            </w:r>
          </w:p>
          <w:p w14:paraId="3399B634" w14:textId="77777777" w:rsidR="002C639C" w:rsidRDefault="00CE2A9B">
            <w:pPr>
              <w:pStyle w:val="TableParagraph"/>
              <w:spacing w:line="250" w:lineRule="exact"/>
              <w:ind w:left="108"/>
              <w:jc w:val="both"/>
            </w:pPr>
            <w:r>
              <w:t>Working Paper ERSD-2011-15, October 6, 2011).</w:t>
            </w:r>
          </w:p>
        </w:tc>
      </w:tr>
    </w:tbl>
    <w:p w14:paraId="4B5BEE1D" w14:textId="77777777" w:rsidR="00CE2A9B" w:rsidRDefault="00CE2A9B"/>
    <w:sectPr w:rsidR="00CE2A9B">
      <w:type w:val="continuous"/>
      <w:pgSz w:w="11910" w:h="16840"/>
      <w:pgMar w:top="0" w:right="10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E2E80"/>
    <w:multiLevelType w:val="hybridMultilevel"/>
    <w:tmpl w:val="25EC3A5C"/>
    <w:lvl w:ilvl="0" w:tplc="3320E3DC">
      <w:start w:val="1"/>
      <w:numFmt w:val="decimal"/>
      <w:lvlText w:val="%1)"/>
      <w:lvlJc w:val="left"/>
      <w:pPr>
        <w:ind w:left="108" w:hanging="255"/>
        <w:jc w:val="left"/>
      </w:pPr>
      <w:rPr>
        <w:rFonts w:ascii="Calibri" w:eastAsia="Calibri" w:hAnsi="Calibri" w:cs="Calibri" w:hint="default"/>
        <w:w w:val="100"/>
        <w:sz w:val="22"/>
        <w:szCs w:val="22"/>
        <w:lang w:val="en-US" w:eastAsia="en-US" w:bidi="en-US"/>
      </w:rPr>
    </w:lvl>
    <w:lvl w:ilvl="1" w:tplc="09486B64">
      <w:numFmt w:val="bullet"/>
      <w:lvlText w:val="•"/>
      <w:lvlJc w:val="left"/>
      <w:pPr>
        <w:ind w:left="859" w:hanging="255"/>
      </w:pPr>
      <w:rPr>
        <w:rFonts w:hint="default"/>
        <w:lang w:val="en-US" w:eastAsia="en-US" w:bidi="en-US"/>
      </w:rPr>
    </w:lvl>
    <w:lvl w:ilvl="2" w:tplc="628C010A">
      <w:numFmt w:val="bullet"/>
      <w:lvlText w:val="•"/>
      <w:lvlJc w:val="left"/>
      <w:pPr>
        <w:ind w:left="1619" w:hanging="255"/>
      </w:pPr>
      <w:rPr>
        <w:rFonts w:hint="default"/>
        <w:lang w:val="en-US" w:eastAsia="en-US" w:bidi="en-US"/>
      </w:rPr>
    </w:lvl>
    <w:lvl w:ilvl="3" w:tplc="3A02C5E8">
      <w:numFmt w:val="bullet"/>
      <w:lvlText w:val="•"/>
      <w:lvlJc w:val="left"/>
      <w:pPr>
        <w:ind w:left="2379" w:hanging="255"/>
      </w:pPr>
      <w:rPr>
        <w:rFonts w:hint="default"/>
        <w:lang w:val="en-US" w:eastAsia="en-US" w:bidi="en-US"/>
      </w:rPr>
    </w:lvl>
    <w:lvl w:ilvl="4" w:tplc="C928B1BA">
      <w:numFmt w:val="bullet"/>
      <w:lvlText w:val="•"/>
      <w:lvlJc w:val="left"/>
      <w:pPr>
        <w:ind w:left="3139" w:hanging="255"/>
      </w:pPr>
      <w:rPr>
        <w:rFonts w:hint="default"/>
        <w:lang w:val="en-US" w:eastAsia="en-US" w:bidi="en-US"/>
      </w:rPr>
    </w:lvl>
    <w:lvl w:ilvl="5" w:tplc="CE58B42E">
      <w:numFmt w:val="bullet"/>
      <w:lvlText w:val="•"/>
      <w:lvlJc w:val="left"/>
      <w:pPr>
        <w:ind w:left="3899" w:hanging="255"/>
      </w:pPr>
      <w:rPr>
        <w:rFonts w:hint="default"/>
        <w:lang w:val="en-US" w:eastAsia="en-US" w:bidi="en-US"/>
      </w:rPr>
    </w:lvl>
    <w:lvl w:ilvl="6" w:tplc="B7D85C82">
      <w:numFmt w:val="bullet"/>
      <w:lvlText w:val="•"/>
      <w:lvlJc w:val="left"/>
      <w:pPr>
        <w:ind w:left="4659" w:hanging="255"/>
      </w:pPr>
      <w:rPr>
        <w:rFonts w:hint="default"/>
        <w:lang w:val="en-US" w:eastAsia="en-US" w:bidi="en-US"/>
      </w:rPr>
    </w:lvl>
    <w:lvl w:ilvl="7" w:tplc="396E7A88">
      <w:numFmt w:val="bullet"/>
      <w:lvlText w:val="•"/>
      <w:lvlJc w:val="left"/>
      <w:pPr>
        <w:ind w:left="5419" w:hanging="255"/>
      </w:pPr>
      <w:rPr>
        <w:rFonts w:hint="default"/>
        <w:lang w:val="en-US" w:eastAsia="en-US" w:bidi="en-US"/>
      </w:rPr>
    </w:lvl>
    <w:lvl w:ilvl="8" w:tplc="248EC9A0">
      <w:numFmt w:val="bullet"/>
      <w:lvlText w:val="•"/>
      <w:lvlJc w:val="left"/>
      <w:pPr>
        <w:ind w:left="6179" w:hanging="255"/>
      </w:pPr>
      <w:rPr>
        <w:rFonts w:hint="default"/>
        <w:lang w:val="en-US" w:eastAsia="en-US" w:bidi="en-US"/>
      </w:rPr>
    </w:lvl>
  </w:abstractNum>
  <w:abstractNum w:abstractNumId="1" w15:restartNumberingAfterBreak="0">
    <w:nsid w:val="4231164E"/>
    <w:multiLevelType w:val="hybridMultilevel"/>
    <w:tmpl w:val="B64E8506"/>
    <w:lvl w:ilvl="0" w:tplc="C5002F40">
      <w:numFmt w:val="bullet"/>
      <w:lvlText w:val="•"/>
      <w:lvlJc w:val="left"/>
      <w:pPr>
        <w:ind w:left="425" w:hanging="250"/>
      </w:pPr>
      <w:rPr>
        <w:rFonts w:ascii="Calibri" w:eastAsia="Calibri" w:hAnsi="Calibri" w:cs="Calibri" w:hint="default"/>
        <w:color w:val="800000"/>
        <w:w w:val="100"/>
        <w:sz w:val="28"/>
        <w:szCs w:val="28"/>
        <w:lang w:val="en-US" w:eastAsia="en-US" w:bidi="en-US"/>
      </w:rPr>
    </w:lvl>
    <w:lvl w:ilvl="1" w:tplc="1D4E9F3C">
      <w:numFmt w:val="bullet"/>
      <w:lvlText w:val="•"/>
      <w:lvlJc w:val="left"/>
      <w:pPr>
        <w:ind w:left="1147" w:hanging="250"/>
      </w:pPr>
      <w:rPr>
        <w:rFonts w:hint="default"/>
        <w:lang w:val="en-US" w:eastAsia="en-US" w:bidi="en-US"/>
      </w:rPr>
    </w:lvl>
    <w:lvl w:ilvl="2" w:tplc="49269320">
      <w:numFmt w:val="bullet"/>
      <w:lvlText w:val="•"/>
      <w:lvlJc w:val="left"/>
      <w:pPr>
        <w:ind w:left="1875" w:hanging="250"/>
      </w:pPr>
      <w:rPr>
        <w:rFonts w:hint="default"/>
        <w:lang w:val="en-US" w:eastAsia="en-US" w:bidi="en-US"/>
      </w:rPr>
    </w:lvl>
    <w:lvl w:ilvl="3" w:tplc="B378AACC">
      <w:numFmt w:val="bullet"/>
      <w:lvlText w:val="•"/>
      <w:lvlJc w:val="left"/>
      <w:pPr>
        <w:ind w:left="2603" w:hanging="250"/>
      </w:pPr>
      <w:rPr>
        <w:rFonts w:hint="default"/>
        <w:lang w:val="en-US" w:eastAsia="en-US" w:bidi="en-US"/>
      </w:rPr>
    </w:lvl>
    <w:lvl w:ilvl="4" w:tplc="BFD26754">
      <w:numFmt w:val="bullet"/>
      <w:lvlText w:val="•"/>
      <w:lvlJc w:val="left"/>
      <w:pPr>
        <w:ind w:left="3331" w:hanging="250"/>
      </w:pPr>
      <w:rPr>
        <w:rFonts w:hint="default"/>
        <w:lang w:val="en-US" w:eastAsia="en-US" w:bidi="en-US"/>
      </w:rPr>
    </w:lvl>
    <w:lvl w:ilvl="5" w:tplc="7CA40E30">
      <w:numFmt w:val="bullet"/>
      <w:lvlText w:val="•"/>
      <w:lvlJc w:val="left"/>
      <w:pPr>
        <w:ind w:left="4059" w:hanging="250"/>
      </w:pPr>
      <w:rPr>
        <w:rFonts w:hint="default"/>
        <w:lang w:val="en-US" w:eastAsia="en-US" w:bidi="en-US"/>
      </w:rPr>
    </w:lvl>
    <w:lvl w:ilvl="6" w:tplc="C458FB90">
      <w:numFmt w:val="bullet"/>
      <w:lvlText w:val="•"/>
      <w:lvlJc w:val="left"/>
      <w:pPr>
        <w:ind w:left="4787" w:hanging="250"/>
      </w:pPr>
      <w:rPr>
        <w:rFonts w:hint="default"/>
        <w:lang w:val="en-US" w:eastAsia="en-US" w:bidi="en-US"/>
      </w:rPr>
    </w:lvl>
    <w:lvl w:ilvl="7" w:tplc="57526238">
      <w:numFmt w:val="bullet"/>
      <w:lvlText w:val="•"/>
      <w:lvlJc w:val="left"/>
      <w:pPr>
        <w:ind w:left="5515" w:hanging="250"/>
      </w:pPr>
      <w:rPr>
        <w:rFonts w:hint="default"/>
        <w:lang w:val="en-US" w:eastAsia="en-US" w:bidi="en-US"/>
      </w:rPr>
    </w:lvl>
    <w:lvl w:ilvl="8" w:tplc="716CA47E">
      <w:numFmt w:val="bullet"/>
      <w:lvlText w:val="•"/>
      <w:lvlJc w:val="left"/>
      <w:pPr>
        <w:ind w:left="6243" w:hanging="25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39C"/>
    <w:rsid w:val="002C639C"/>
    <w:rsid w:val="007012E6"/>
    <w:rsid w:val="00792EC2"/>
    <w:rsid w:val="008D1380"/>
    <w:rsid w:val="00CE2A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140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792EC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92EC2"/>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1749</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economia</dc:creator>
  <cp:lastModifiedBy>Utente Windows</cp:lastModifiedBy>
  <cp:revision>2</cp:revision>
  <cp:lastPrinted>2019-05-20T17:19:00Z</cp:lastPrinted>
  <dcterms:created xsi:type="dcterms:W3CDTF">2019-09-09T14:14:00Z</dcterms:created>
  <dcterms:modified xsi:type="dcterms:W3CDTF">2019-09-09T14:14:00Z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2017-03-09T00:00:00Z</vt:filetime>
  </property>
  <property fmtid="{D5CDD505-2E9C-101B-9397-08002B2CF9AE}" pid="3" name="Creator">
    <vt:lpwstr>Microsoft® Word 2013</vt:lpwstr>
  </property>
  <property fmtid="{D5CDD505-2E9C-101B-9397-08002B2CF9AE}" pid="4" name="LastSaved">
    <vt:filetime>2019-02-18T00:00:00Z</vt:filetime>
  </property>
</Properties>
</file>