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1B1E5" w14:textId="77777777" w:rsidR="00D202CD" w:rsidRDefault="00FE2308">
      <w:pPr>
        <w:rPr>
          <w:rFonts w:ascii="Times New Roman"/>
          <w:sz w:val="20"/>
        </w:rPr>
      </w:pPr>
      <w:r>
        <w:rPr>
          <w:noProof/>
          <w:lang w:val="it-IT" w:eastAsia="it-IT" w:bidi="ar-SA"/>
        </w:rPr>
        <w:drawing>
          <wp:anchor distT="0" distB="0" distL="0" distR="0" simplePos="0" relativeHeight="268431719" behindDoc="1" locked="0" layoutInCell="1" allowOverlap="1" wp14:anchorId="0BBBF010" wp14:editId="43F55461">
            <wp:simplePos x="0" y="0"/>
            <wp:positionH relativeFrom="page">
              <wp:posOffset>4415147</wp:posOffset>
            </wp:positionH>
            <wp:positionV relativeFrom="page">
              <wp:posOffset>106679</wp:posOffset>
            </wp:positionV>
            <wp:extent cx="3005564" cy="217027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005564" cy="2170271"/>
                    </a:xfrm>
                    <a:prstGeom prst="rect">
                      <a:avLst/>
                    </a:prstGeom>
                  </pic:spPr>
                </pic:pic>
              </a:graphicData>
            </a:graphic>
          </wp:anchor>
        </w:drawing>
      </w:r>
    </w:p>
    <w:p w14:paraId="28F2999A" w14:textId="77777777" w:rsidR="00D202CD" w:rsidRDefault="00D202CD">
      <w:pPr>
        <w:rPr>
          <w:rFonts w:ascii="Times New Roman"/>
          <w:sz w:val="20"/>
        </w:rPr>
      </w:pPr>
    </w:p>
    <w:p w14:paraId="7DFB62B6" w14:textId="77777777" w:rsidR="00D202CD" w:rsidRDefault="00D202CD">
      <w:pPr>
        <w:spacing w:before="4"/>
        <w:rPr>
          <w:rFonts w:ascii="Times New Roman"/>
          <w:sz w:val="21"/>
        </w:rPr>
      </w:pPr>
    </w:p>
    <w:p w14:paraId="3006E20B" w14:textId="77777777" w:rsidR="00D202CD" w:rsidRDefault="00FE2308">
      <w:pPr>
        <w:ind w:left="318"/>
        <w:rPr>
          <w:rFonts w:ascii="Times New Roman"/>
          <w:sz w:val="20"/>
        </w:rPr>
      </w:pPr>
      <w:r>
        <w:rPr>
          <w:rFonts w:ascii="Times New Roman"/>
          <w:noProof/>
          <w:sz w:val="20"/>
          <w:lang w:val="it-IT" w:eastAsia="it-IT" w:bidi="ar-SA"/>
        </w:rPr>
        <w:drawing>
          <wp:inline distT="0" distB="0" distL="0" distR="0" wp14:anchorId="35B2DA6A" wp14:editId="2971F1CC">
            <wp:extent cx="1563464" cy="57626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563464" cy="576262"/>
                    </a:xfrm>
                    <a:prstGeom prst="rect">
                      <a:avLst/>
                    </a:prstGeom>
                  </pic:spPr>
                </pic:pic>
              </a:graphicData>
            </a:graphic>
          </wp:inline>
        </w:drawing>
      </w:r>
    </w:p>
    <w:p w14:paraId="131A98A4" w14:textId="77777777" w:rsidR="00D202CD" w:rsidRDefault="00D202CD">
      <w:pPr>
        <w:rPr>
          <w:rFonts w:ascii="Times New Roman"/>
          <w:sz w:val="20"/>
        </w:rPr>
      </w:pPr>
    </w:p>
    <w:p w14:paraId="7E5E7A7B" w14:textId="77777777" w:rsidR="00D202CD" w:rsidRDefault="00D202CD">
      <w:pPr>
        <w:rPr>
          <w:rFonts w:ascii="Times New Roman"/>
          <w:sz w:val="20"/>
        </w:rPr>
      </w:pPr>
    </w:p>
    <w:p w14:paraId="098DB5A6" w14:textId="77777777" w:rsidR="00D202CD" w:rsidRDefault="00D202CD">
      <w:pPr>
        <w:rPr>
          <w:rFonts w:ascii="Times New Roman"/>
          <w:sz w:val="20"/>
        </w:rPr>
      </w:pPr>
    </w:p>
    <w:p w14:paraId="1C7E699D" w14:textId="77777777" w:rsidR="00D202CD" w:rsidRDefault="00D202CD">
      <w:pPr>
        <w:rPr>
          <w:rFonts w:ascii="Times New Roman"/>
          <w:sz w:val="20"/>
        </w:rPr>
      </w:pPr>
    </w:p>
    <w:p w14:paraId="38A66A60" w14:textId="77777777" w:rsidR="00D202CD" w:rsidRDefault="00D202CD">
      <w:pPr>
        <w:rPr>
          <w:rFonts w:ascii="Times New Roman"/>
          <w:sz w:val="20"/>
        </w:rPr>
      </w:pPr>
    </w:p>
    <w:p w14:paraId="634BC382" w14:textId="77777777" w:rsidR="00D202CD" w:rsidRDefault="00D202CD">
      <w:pPr>
        <w:rPr>
          <w:rFonts w:ascii="Times New Roman"/>
          <w:sz w:val="20"/>
        </w:rPr>
      </w:pPr>
    </w:p>
    <w:p w14:paraId="6C983BE0" w14:textId="77777777" w:rsidR="00D202CD" w:rsidRDefault="00D202CD">
      <w:pPr>
        <w:spacing w:before="7"/>
        <w:rPr>
          <w:rFonts w:ascii="Times New Roman"/>
          <w:sz w:val="23"/>
        </w:rPr>
      </w:pPr>
    </w:p>
    <w:tbl>
      <w:tblPr>
        <w:tblStyle w:val="TableNormal"/>
        <w:tblW w:w="0" w:type="auto"/>
        <w:tblInd w:w="163" w:type="dxa"/>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Layout w:type="fixed"/>
        <w:tblLook w:val="01E0" w:firstRow="1" w:lastRow="1" w:firstColumn="1" w:lastColumn="1" w:noHBand="0" w:noVBand="0"/>
      </w:tblPr>
      <w:tblGrid>
        <w:gridCol w:w="1877"/>
        <w:gridCol w:w="7978"/>
      </w:tblGrid>
      <w:tr w:rsidR="00D202CD" w14:paraId="2D7F5A97" w14:textId="77777777" w:rsidTr="001721FE">
        <w:trPr>
          <w:trHeight w:val="645"/>
        </w:trPr>
        <w:tc>
          <w:tcPr>
            <w:tcW w:w="1877" w:type="dxa"/>
          </w:tcPr>
          <w:p w14:paraId="273DDE90" w14:textId="169E1211" w:rsidR="00D202CD" w:rsidRDefault="00925976">
            <w:pPr>
              <w:pStyle w:val="TableParagraph"/>
              <w:spacing w:before="149"/>
              <w:ind w:left="135" w:right="79"/>
              <w:jc w:val="center"/>
              <w:rPr>
                <w:b/>
                <w:sz w:val="28"/>
              </w:rPr>
            </w:pPr>
            <w:r>
              <w:rPr>
                <w:b/>
                <w:color w:val="800000"/>
                <w:sz w:val="28"/>
              </w:rPr>
              <w:t>MODULE 6</w:t>
            </w:r>
            <w:bookmarkStart w:id="0" w:name="_GoBack"/>
            <w:bookmarkEnd w:id="0"/>
          </w:p>
        </w:tc>
        <w:tc>
          <w:tcPr>
            <w:tcW w:w="7978" w:type="dxa"/>
          </w:tcPr>
          <w:p w14:paraId="0B8FFA3B" w14:textId="77777777" w:rsidR="00D202CD" w:rsidRDefault="00972507">
            <w:pPr>
              <w:pStyle w:val="TableParagraph"/>
              <w:spacing w:before="149"/>
              <w:ind w:left="104"/>
              <w:rPr>
                <w:sz w:val="28"/>
              </w:rPr>
            </w:pPr>
            <w:r w:rsidRPr="00972507">
              <w:rPr>
                <w:b/>
                <w:color w:val="800000"/>
                <w:sz w:val="28"/>
              </w:rPr>
              <w:t>Integrity and Anticorruption in Public Procurement</w:t>
            </w:r>
          </w:p>
        </w:tc>
      </w:tr>
      <w:tr w:rsidR="00D202CD" w14:paraId="1FD6D37C" w14:textId="77777777" w:rsidTr="001721FE">
        <w:trPr>
          <w:trHeight w:val="823"/>
        </w:trPr>
        <w:tc>
          <w:tcPr>
            <w:tcW w:w="1877" w:type="dxa"/>
          </w:tcPr>
          <w:p w14:paraId="09C30C54" w14:textId="77777777" w:rsidR="00D202CD" w:rsidRDefault="00FE2308">
            <w:pPr>
              <w:pStyle w:val="TableParagraph"/>
              <w:spacing w:before="241"/>
              <w:ind w:left="135" w:right="78"/>
              <w:jc w:val="center"/>
              <w:rPr>
                <w:b/>
                <w:sz w:val="28"/>
              </w:rPr>
            </w:pPr>
            <w:r>
              <w:rPr>
                <w:b/>
                <w:color w:val="800000"/>
                <w:sz w:val="28"/>
              </w:rPr>
              <w:t>LECTURER</w:t>
            </w:r>
          </w:p>
        </w:tc>
        <w:tc>
          <w:tcPr>
            <w:tcW w:w="7978" w:type="dxa"/>
          </w:tcPr>
          <w:p w14:paraId="1ABCB235" w14:textId="77777777" w:rsidR="00972507" w:rsidRPr="00972507" w:rsidRDefault="00972507" w:rsidP="00972507">
            <w:pPr>
              <w:pStyle w:val="TableParagraph"/>
              <w:spacing w:before="241"/>
              <w:ind w:left="104"/>
              <w:rPr>
                <w:b/>
                <w:color w:val="800000"/>
                <w:sz w:val="28"/>
              </w:rPr>
            </w:pPr>
            <w:r w:rsidRPr="00972507">
              <w:rPr>
                <w:b/>
                <w:color w:val="800000"/>
                <w:sz w:val="28"/>
              </w:rPr>
              <w:t xml:space="preserve">Anders </w:t>
            </w:r>
            <w:proofErr w:type="spellStart"/>
            <w:r w:rsidRPr="00972507">
              <w:rPr>
                <w:b/>
                <w:color w:val="800000"/>
                <w:sz w:val="28"/>
              </w:rPr>
              <w:t>Hjorth</w:t>
            </w:r>
            <w:proofErr w:type="spellEnd"/>
            <w:r w:rsidRPr="00972507">
              <w:rPr>
                <w:b/>
                <w:color w:val="800000"/>
                <w:sz w:val="28"/>
              </w:rPr>
              <w:t xml:space="preserve"> </w:t>
            </w:r>
            <w:proofErr w:type="spellStart"/>
            <w:r w:rsidRPr="00972507">
              <w:rPr>
                <w:b/>
                <w:color w:val="800000"/>
                <w:sz w:val="28"/>
              </w:rPr>
              <w:t>Agerskov</w:t>
            </w:r>
            <w:proofErr w:type="spellEnd"/>
          </w:p>
          <w:p w14:paraId="540D5DDD" w14:textId="77777777" w:rsidR="00D202CD" w:rsidRDefault="00D202CD">
            <w:pPr>
              <w:pStyle w:val="TableParagraph"/>
              <w:spacing w:before="241"/>
              <w:ind w:left="104"/>
              <w:rPr>
                <w:sz w:val="28"/>
              </w:rPr>
            </w:pPr>
          </w:p>
        </w:tc>
      </w:tr>
      <w:tr w:rsidR="00D202CD" w14:paraId="1249F73B" w14:textId="77777777" w:rsidTr="001721FE">
        <w:trPr>
          <w:trHeight w:val="683"/>
        </w:trPr>
        <w:tc>
          <w:tcPr>
            <w:tcW w:w="1877" w:type="dxa"/>
          </w:tcPr>
          <w:p w14:paraId="0F7BFA9E" w14:textId="77777777" w:rsidR="00D202CD" w:rsidRDefault="00FE2308">
            <w:pPr>
              <w:pStyle w:val="TableParagraph"/>
              <w:spacing w:line="337" w:lineRule="exact"/>
              <w:ind w:left="135" w:right="79"/>
              <w:jc w:val="center"/>
              <w:rPr>
                <w:b/>
                <w:sz w:val="28"/>
              </w:rPr>
            </w:pPr>
            <w:r>
              <w:rPr>
                <w:b/>
                <w:color w:val="800000"/>
                <w:sz w:val="28"/>
              </w:rPr>
              <w:t>LECTURE</w:t>
            </w:r>
          </w:p>
          <w:p w14:paraId="224A2637" w14:textId="77777777" w:rsidR="00D202CD" w:rsidRDefault="00FE2308">
            <w:pPr>
              <w:pStyle w:val="TableParagraph"/>
              <w:spacing w:line="327" w:lineRule="exact"/>
              <w:ind w:left="135" w:right="79"/>
              <w:jc w:val="center"/>
              <w:rPr>
                <w:b/>
                <w:sz w:val="28"/>
              </w:rPr>
            </w:pPr>
            <w:r>
              <w:rPr>
                <w:b/>
                <w:color w:val="800000"/>
                <w:sz w:val="28"/>
              </w:rPr>
              <w:t>TITLE</w:t>
            </w:r>
          </w:p>
        </w:tc>
        <w:tc>
          <w:tcPr>
            <w:tcW w:w="7978" w:type="dxa"/>
          </w:tcPr>
          <w:p w14:paraId="11A8C2E8" w14:textId="77777777" w:rsidR="00D202CD" w:rsidRDefault="00D202CD">
            <w:pPr>
              <w:pStyle w:val="TableParagraph"/>
              <w:spacing w:before="169"/>
              <w:ind w:left="104"/>
              <w:rPr>
                <w:sz w:val="28"/>
              </w:rPr>
            </w:pPr>
          </w:p>
        </w:tc>
      </w:tr>
      <w:tr w:rsidR="00D202CD" w14:paraId="750908F1" w14:textId="77777777" w:rsidTr="001721FE">
        <w:trPr>
          <w:trHeight w:val="5114"/>
        </w:trPr>
        <w:tc>
          <w:tcPr>
            <w:tcW w:w="1877" w:type="dxa"/>
          </w:tcPr>
          <w:p w14:paraId="3A9E47B5" w14:textId="77777777" w:rsidR="00D202CD" w:rsidRDefault="00D202CD">
            <w:pPr>
              <w:pStyle w:val="TableParagraph"/>
              <w:rPr>
                <w:rFonts w:ascii="Times New Roman"/>
                <w:sz w:val="34"/>
              </w:rPr>
            </w:pPr>
          </w:p>
          <w:p w14:paraId="6531CA36" w14:textId="77777777" w:rsidR="00D202CD" w:rsidRDefault="00D202CD">
            <w:pPr>
              <w:pStyle w:val="TableParagraph"/>
              <w:rPr>
                <w:rFonts w:ascii="Times New Roman"/>
                <w:sz w:val="34"/>
              </w:rPr>
            </w:pPr>
          </w:p>
          <w:p w14:paraId="42276331" w14:textId="77777777" w:rsidR="00D202CD" w:rsidRDefault="00D202CD">
            <w:pPr>
              <w:pStyle w:val="TableParagraph"/>
              <w:rPr>
                <w:rFonts w:ascii="Times New Roman"/>
                <w:sz w:val="34"/>
              </w:rPr>
            </w:pPr>
          </w:p>
          <w:p w14:paraId="7C152604" w14:textId="77777777" w:rsidR="00D202CD" w:rsidRDefault="00D202CD">
            <w:pPr>
              <w:pStyle w:val="TableParagraph"/>
              <w:rPr>
                <w:rFonts w:ascii="Times New Roman"/>
                <w:sz w:val="34"/>
              </w:rPr>
            </w:pPr>
          </w:p>
          <w:p w14:paraId="526051C7" w14:textId="77777777" w:rsidR="00D202CD" w:rsidRDefault="00D202CD">
            <w:pPr>
              <w:pStyle w:val="TableParagraph"/>
              <w:rPr>
                <w:rFonts w:ascii="Times New Roman"/>
                <w:sz w:val="34"/>
              </w:rPr>
            </w:pPr>
          </w:p>
          <w:p w14:paraId="542E0F8A" w14:textId="77777777" w:rsidR="00D202CD" w:rsidRDefault="00D202CD">
            <w:pPr>
              <w:pStyle w:val="TableParagraph"/>
              <w:spacing w:before="1"/>
              <w:rPr>
                <w:rFonts w:ascii="Times New Roman"/>
                <w:sz w:val="37"/>
              </w:rPr>
            </w:pPr>
          </w:p>
          <w:p w14:paraId="06170F95" w14:textId="77777777" w:rsidR="00D202CD" w:rsidRDefault="00FE2308">
            <w:pPr>
              <w:pStyle w:val="TableParagraph"/>
              <w:ind w:left="135" w:right="79"/>
              <w:jc w:val="center"/>
              <w:rPr>
                <w:b/>
                <w:sz w:val="28"/>
              </w:rPr>
            </w:pPr>
            <w:r>
              <w:rPr>
                <w:b/>
                <w:color w:val="800000"/>
                <w:sz w:val="28"/>
              </w:rPr>
              <w:t>OBJECTIVES</w:t>
            </w:r>
          </w:p>
        </w:tc>
        <w:tc>
          <w:tcPr>
            <w:tcW w:w="7978" w:type="dxa"/>
          </w:tcPr>
          <w:p w14:paraId="3DBD7091" w14:textId="77777777" w:rsidR="00972507" w:rsidRPr="00972507" w:rsidRDefault="00972507" w:rsidP="001721FE">
            <w:pPr>
              <w:pStyle w:val="Corpotesto"/>
              <w:spacing w:before="40" w:line="288" w:lineRule="auto"/>
              <w:ind w:left="119" w:right="110"/>
              <w:jc w:val="both"/>
              <w:rPr>
                <w:b/>
                <w:sz w:val="24"/>
                <w:szCs w:val="22"/>
              </w:rPr>
            </w:pPr>
            <w:r w:rsidRPr="00972507">
              <w:rPr>
                <w:b/>
                <w:sz w:val="24"/>
                <w:szCs w:val="22"/>
              </w:rPr>
              <w:t>The</w:t>
            </w:r>
            <w:r w:rsidR="001721FE">
              <w:rPr>
                <w:b/>
                <w:sz w:val="24"/>
                <w:szCs w:val="22"/>
              </w:rPr>
              <w:t xml:space="preserve"> final four sessions of Module 13</w:t>
            </w:r>
            <w:r w:rsidRPr="00972507">
              <w:rPr>
                <w:b/>
                <w:sz w:val="24"/>
                <w:szCs w:val="22"/>
              </w:rPr>
              <w:t xml:space="preserve"> - Integrity and anticorruption in public procurement will focus on public procurement datasets across the world (main focus on Europe), available quantitative red flagging approaches, and how to use them in investigations and policy design. After introducing students to the state of play in terms of data and corruption indicators, it will provide a hands-on exercise of working with actual public procurement data published by the EU-funded project DIGIWHIST (</w:t>
            </w:r>
            <w:hyperlink r:id="rId7">
              <w:r w:rsidRPr="00972507">
                <w:rPr>
                  <w:b/>
                  <w:sz w:val="24"/>
                  <w:szCs w:val="22"/>
                </w:rPr>
                <w:t>http://digiwhist.eu/resources/data/</w:t>
              </w:r>
            </w:hyperlink>
            <w:r w:rsidRPr="00972507">
              <w:rPr>
                <w:b/>
                <w:sz w:val="24"/>
                <w:szCs w:val="22"/>
              </w:rPr>
              <w:t>), developing and assessing a range of interesting red flags and actually conducting simple analysis with real-life data.</w:t>
            </w:r>
          </w:p>
          <w:p w14:paraId="27942F50" w14:textId="77777777" w:rsidR="00972507" w:rsidRPr="00972507" w:rsidRDefault="00972507" w:rsidP="001721FE">
            <w:pPr>
              <w:pStyle w:val="Corpotesto"/>
              <w:spacing w:before="6"/>
              <w:jc w:val="both"/>
              <w:rPr>
                <w:b/>
                <w:sz w:val="24"/>
                <w:szCs w:val="22"/>
              </w:rPr>
            </w:pPr>
          </w:p>
          <w:p w14:paraId="7AE7D239" w14:textId="77777777" w:rsidR="00972507" w:rsidRPr="00972507" w:rsidRDefault="00972507" w:rsidP="001721FE">
            <w:pPr>
              <w:pStyle w:val="Corpotesto"/>
              <w:spacing w:line="288" w:lineRule="auto"/>
              <w:ind w:left="120" w:right="135"/>
              <w:jc w:val="both"/>
              <w:rPr>
                <w:b/>
                <w:sz w:val="24"/>
                <w:szCs w:val="22"/>
              </w:rPr>
            </w:pPr>
            <w:r w:rsidRPr="00972507">
              <w:rPr>
                <w:b/>
                <w:sz w:val="24"/>
                <w:szCs w:val="22"/>
              </w:rPr>
              <w:t>Some familiarity with basic statistical concepts such as averages, distributions is preferable, but students will be supported throughout the exercises and group-work will be designed so that sufficient statistical knowledge is available.</w:t>
            </w:r>
          </w:p>
          <w:p w14:paraId="2A78BD75" w14:textId="77777777" w:rsidR="00D202CD" w:rsidRDefault="00D202CD" w:rsidP="00972507">
            <w:pPr>
              <w:pStyle w:val="TableParagraph"/>
              <w:tabs>
                <w:tab w:val="left" w:pos="381"/>
              </w:tabs>
              <w:ind w:left="-173" w:right="737"/>
              <w:rPr>
                <w:sz w:val="28"/>
              </w:rPr>
            </w:pPr>
          </w:p>
        </w:tc>
      </w:tr>
      <w:tr w:rsidR="00D202CD" w14:paraId="472874ED" w14:textId="77777777" w:rsidTr="00FE2308">
        <w:trPr>
          <w:trHeight w:val="4099"/>
        </w:trPr>
        <w:tc>
          <w:tcPr>
            <w:tcW w:w="1877" w:type="dxa"/>
          </w:tcPr>
          <w:p w14:paraId="76A904C7" w14:textId="77777777" w:rsidR="00D202CD" w:rsidRDefault="00D202CD">
            <w:pPr>
              <w:pStyle w:val="TableParagraph"/>
              <w:rPr>
                <w:rFonts w:ascii="Times New Roman"/>
                <w:sz w:val="34"/>
              </w:rPr>
            </w:pPr>
          </w:p>
          <w:p w14:paraId="4D29309E" w14:textId="77777777" w:rsidR="00D202CD" w:rsidRDefault="00D202CD">
            <w:pPr>
              <w:pStyle w:val="TableParagraph"/>
              <w:rPr>
                <w:rFonts w:ascii="Times New Roman"/>
                <w:sz w:val="34"/>
              </w:rPr>
            </w:pPr>
          </w:p>
          <w:p w14:paraId="403AEDA6" w14:textId="77777777" w:rsidR="00D202CD" w:rsidRDefault="00D202CD">
            <w:pPr>
              <w:pStyle w:val="TableParagraph"/>
              <w:rPr>
                <w:rFonts w:ascii="Times New Roman"/>
                <w:sz w:val="34"/>
              </w:rPr>
            </w:pPr>
          </w:p>
          <w:p w14:paraId="2FBBC163" w14:textId="77777777" w:rsidR="00D202CD" w:rsidRDefault="00D202CD">
            <w:pPr>
              <w:pStyle w:val="TableParagraph"/>
              <w:rPr>
                <w:rFonts w:ascii="Times New Roman"/>
                <w:sz w:val="34"/>
              </w:rPr>
            </w:pPr>
          </w:p>
          <w:p w14:paraId="50F6C2C3" w14:textId="77777777" w:rsidR="00D202CD" w:rsidRDefault="00D202CD">
            <w:pPr>
              <w:pStyle w:val="TableParagraph"/>
              <w:spacing w:before="3"/>
              <w:rPr>
                <w:rFonts w:ascii="Times New Roman"/>
                <w:sz w:val="27"/>
              </w:rPr>
            </w:pPr>
          </w:p>
          <w:p w14:paraId="259A9DD7" w14:textId="77777777" w:rsidR="00D202CD" w:rsidRDefault="00FE2308">
            <w:pPr>
              <w:pStyle w:val="TableParagraph"/>
              <w:ind w:left="135" w:right="79"/>
              <w:jc w:val="center"/>
              <w:rPr>
                <w:b/>
                <w:sz w:val="28"/>
              </w:rPr>
            </w:pPr>
            <w:r>
              <w:rPr>
                <w:b/>
                <w:color w:val="800000"/>
                <w:sz w:val="28"/>
              </w:rPr>
              <w:t>DESCRIPTION</w:t>
            </w:r>
          </w:p>
        </w:tc>
        <w:tc>
          <w:tcPr>
            <w:tcW w:w="7978" w:type="dxa"/>
          </w:tcPr>
          <w:p w14:paraId="37A60345" w14:textId="77777777" w:rsidR="001721FE" w:rsidRDefault="001721FE" w:rsidP="001721FE">
            <w:pPr>
              <w:pStyle w:val="TableParagraph"/>
              <w:spacing w:before="8"/>
              <w:rPr>
                <w:b/>
                <w:sz w:val="24"/>
              </w:rPr>
            </w:pPr>
          </w:p>
          <w:p w14:paraId="76D83073" w14:textId="77777777" w:rsidR="00D202CD" w:rsidRPr="001721FE" w:rsidRDefault="001721FE">
            <w:pPr>
              <w:pStyle w:val="TableParagraph"/>
              <w:spacing w:before="8"/>
              <w:rPr>
                <w:b/>
                <w:sz w:val="28"/>
              </w:rPr>
            </w:pPr>
            <w:r w:rsidRPr="001721FE">
              <w:rPr>
                <w:b/>
                <w:sz w:val="28"/>
              </w:rPr>
              <w:t xml:space="preserve">         Session breakdown</w:t>
            </w:r>
          </w:p>
          <w:p w14:paraId="5EC7A96E" w14:textId="77777777" w:rsidR="001721FE" w:rsidRPr="001721FE" w:rsidRDefault="001721FE" w:rsidP="001721FE">
            <w:pPr>
              <w:pStyle w:val="Paragrafoelenco"/>
              <w:numPr>
                <w:ilvl w:val="0"/>
                <w:numId w:val="2"/>
              </w:numPr>
              <w:tabs>
                <w:tab w:val="left" w:pos="841"/>
              </w:tabs>
              <w:spacing w:before="40"/>
              <w:ind w:hanging="360"/>
              <w:rPr>
                <w:b/>
                <w:sz w:val="24"/>
              </w:rPr>
            </w:pPr>
            <w:r w:rsidRPr="001721FE">
              <w:rPr>
                <w:b/>
                <w:sz w:val="24"/>
              </w:rPr>
              <w:t>Introduction to public procurement data and data gaps in Europe and globally</w:t>
            </w:r>
          </w:p>
          <w:p w14:paraId="2CBBD254" w14:textId="77777777" w:rsidR="001721FE" w:rsidRPr="001721FE" w:rsidRDefault="001721FE" w:rsidP="001721FE">
            <w:pPr>
              <w:pStyle w:val="Paragrafoelenco"/>
              <w:numPr>
                <w:ilvl w:val="0"/>
                <w:numId w:val="2"/>
              </w:numPr>
              <w:tabs>
                <w:tab w:val="left" w:pos="841"/>
              </w:tabs>
              <w:spacing w:before="54" w:line="288" w:lineRule="auto"/>
              <w:ind w:left="839" w:right="617" w:hanging="359"/>
              <w:rPr>
                <w:b/>
                <w:sz w:val="24"/>
              </w:rPr>
            </w:pPr>
            <w:r w:rsidRPr="001721FE">
              <w:rPr>
                <w:b/>
                <w:sz w:val="24"/>
              </w:rPr>
              <w:t>Getting to know quantitative corruption risk indicators and selecting datasets for analysis. Forming groups and preparing for homework in the evening (set of research questions and databases to work on will be distributed)</w:t>
            </w:r>
          </w:p>
          <w:p w14:paraId="3C80B389" w14:textId="77777777" w:rsidR="001721FE" w:rsidRPr="001721FE" w:rsidRDefault="001721FE" w:rsidP="001721FE">
            <w:pPr>
              <w:pStyle w:val="Paragrafoelenco"/>
              <w:numPr>
                <w:ilvl w:val="0"/>
                <w:numId w:val="2"/>
              </w:numPr>
              <w:tabs>
                <w:tab w:val="left" w:pos="841"/>
              </w:tabs>
              <w:spacing w:line="255" w:lineRule="exact"/>
              <w:ind w:hanging="360"/>
              <w:rPr>
                <w:b/>
                <w:sz w:val="24"/>
              </w:rPr>
            </w:pPr>
            <w:r w:rsidRPr="001721FE">
              <w:rPr>
                <w:b/>
                <w:sz w:val="24"/>
              </w:rPr>
              <w:t>Preparation of group analysis and presentations, support from lecturer for each group</w:t>
            </w:r>
          </w:p>
          <w:p w14:paraId="30747280" w14:textId="77777777" w:rsidR="001721FE" w:rsidRPr="001721FE" w:rsidRDefault="001721FE" w:rsidP="001721FE">
            <w:pPr>
              <w:pStyle w:val="Paragrafoelenco"/>
              <w:numPr>
                <w:ilvl w:val="0"/>
                <w:numId w:val="2"/>
              </w:numPr>
              <w:tabs>
                <w:tab w:val="left" w:pos="841"/>
              </w:tabs>
              <w:spacing w:before="51"/>
              <w:ind w:hanging="360"/>
              <w:rPr>
                <w:b/>
                <w:sz w:val="24"/>
              </w:rPr>
            </w:pPr>
            <w:r w:rsidRPr="001721FE">
              <w:rPr>
                <w:b/>
                <w:sz w:val="24"/>
              </w:rPr>
              <w:t>Group presentations and discussion, final feedback</w:t>
            </w:r>
          </w:p>
          <w:p w14:paraId="7E596945" w14:textId="77777777" w:rsidR="00D202CD" w:rsidRDefault="00D202CD">
            <w:pPr>
              <w:pStyle w:val="TableParagraph"/>
              <w:spacing w:line="298" w:lineRule="exact"/>
              <w:ind w:left="104"/>
              <w:rPr>
                <w:sz w:val="28"/>
              </w:rPr>
            </w:pPr>
          </w:p>
        </w:tc>
      </w:tr>
    </w:tbl>
    <w:p w14:paraId="761A817C" w14:textId="77777777" w:rsidR="00FE2308" w:rsidRDefault="00FE2308">
      <w:r>
        <w:br w:type="page"/>
      </w:r>
      <w:r>
        <w:rPr>
          <w:noProof/>
          <w:lang w:val="it-IT" w:eastAsia="it-IT" w:bidi="ar-SA"/>
        </w:rPr>
        <w:lastRenderedPageBreak/>
        <w:drawing>
          <wp:inline distT="0" distB="0" distL="0" distR="0" wp14:anchorId="1355D80F" wp14:editId="5F4E6CB9">
            <wp:extent cx="6953250" cy="16287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ta 2019-02-19 alle 10.09.29.png"/>
                    <pic:cNvPicPr/>
                  </pic:nvPicPr>
                  <pic:blipFill>
                    <a:blip r:embed="rId8">
                      <a:extLst>
                        <a:ext uri="{28A0092B-C50C-407E-A947-70E740481C1C}">
                          <a14:useLocalDpi xmlns:a14="http://schemas.microsoft.com/office/drawing/2010/main" val="0"/>
                        </a:ext>
                      </a:extLst>
                    </a:blip>
                    <a:stretch>
                      <a:fillRect/>
                    </a:stretch>
                  </pic:blipFill>
                  <pic:spPr>
                    <a:xfrm>
                      <a:off x="0" y="0"/>
                      <a:ext cx="6953250" cy="1628775"/>
                    </a:xfrm>
                    <a:prstGeom prst="rect">
                      <a:avLst/>
                    </a:prstGeom>
                  </pic:spPr>
                </pic:pic>
              </a:graphicData>
            </a:graphic>
          </wp:inline>
        </w:drawing>
      </w:r>
    </w:p>
    <w:p w14:paraId="71E666A2" w14:textId="77777777" w:rsidR="00FE2308" w:rsidRDefault="00FE2308"/>
    <w:tbl>
      <w:tblPr>
        <w:tblStyle w:val="TableNormal"/>
        <w:tblW w:w="0" w:type="auto"/>
        <w:tblInd w:w="163" w:type="dxa"/>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Layout w:type="fixed"/>
        <w:tblLook w:val="01E0" w:firstRow="1" w:lastRow="1" w:firstColumn="1" w:lastColumn="1" w:noHBand="0" w:noVBand="0"/>
      </w:tblPr>
      <w:tblGrid>
        <w:gridCol w:w="1877"/>
        <w:gridCol w:w="7978"/>
      </w:tblGrid>
      <w:tr w:rsidR="001721FE" w:rsidRPr="00FE2308" w14:paraId="0AB1810E" w14:textId="77777777" w:rsidTr="00FE2308">
        <w:trPr>
          <w:trHeight w:val="4077"/>
        </w:trPr>
        <w:tc>
          <w:tcPr>
            <w:tcW w:w="1877" w:type="dxa"/>
          </w:tcPr>
          <w:p w14:paraId="2EFC46F8" w14:textId="77777777" w:rsidR="001721FE" w:rsidRDefault="001721FE" w:rsidP="001721FE">
            <w:pPr>
              <w:pStyle w:val="TableParagraph"/>
              <w:rPr>
                <w:rFonts w:ascii="Times New Roman"/>
                <w:sz w:val="34"/>
              </w:rPr>
            </w:pPr>
          </w:p>
          <w:p w14:paraId="1F3B6426" w14:textId="77777777" w:rsidR="00FE2308" w:rsidRDefault="00FE2308" w:rsidP="001721FE">
            <w:pPr>
              <w:pStyle w:val="TableParagraph"/>
              <w:rPr>
                <w:rFonts w:ascii="Times New Roman"/>
                <w:sz w:val="34"/>
              </w:rPr>
            </w:pPr>
          </w:p>
          <w:p w14:paraId="447DC74B" w14:textId="77777777" w:rsidR="001721FE" w:rsidRDefault="001721FE" w:rsidP="001721FE">
            <w:pPr>
              <w:pStyle w:val="TableParagraph"/>
              <w:rPr>
                <w:rFonts w:ascii="Times New Roman"/>
                <w:sz w:val="34"/>
              </w:rPr>
            </w:pPr>
          </w:p>
          <w:p w14:paraId="285358A5" w14:textId="77777777" w:rsidR="001721FE" w:rsidRDefault="001721FE" w:rsidP="001721FE">
            <w:pPr>
              <w:pStyle w:val="TableParagraph"/>
              <w:rPr>
                <w:rFonts w:ascii="Times New Roman"/>
                <w:sz w:val="34"/>
              </w:rPr>
            </w:pPr>
          </w:p>
          <w:p w14:paraId="207C87F6" w14:textId="77777777" w:rsidR="001721FE" w:rsidRPr="001721FE" w:rsidRDefault="001721FE" w:rsidP="00FE2308">
            <w:pPr>
              <w:pStyle w:val="TableParagraph"/>
              <w:jc w:val="center"/>
              <w:rPr>
                <w:b/>
                <w:color w:val="800000"/>
                <w:sz w:val="28"/>
              </w:rPr>
            </w:pPr>
            <w:r w:rsidRPr="001721FE">
              <w:rPr>
                <w:b/>
                <w:color w:val="800000"/>
                <w:sz w:val="28"/>
              </w:rPr>
              <w:t>ASSESSMENT</w:t>
            </w:r>
          </w:p>
          <w:p w14:paraId="6478AFEC" w14:textId="77777777" w:rsidR="001721FE" w:rsidRDefault="001721FE">
            <w:pPr>
              <w:pStyle w:val="TableParagraph"/>
              <w:rPr>
                <w:rFonts w:ascii="Times New Roman"/>
                <w:sz w:val="34"/>
              </w:rPr>
            </w:pPr>
          </w:p>
        </w:tc>
        <w:tc>
          <w:tcPr>
            <w:tcW w:w="7978" w:type="dxa"/>
          </w:tcPr>
          <w:p w14:paraId="0501DC7C" w14:textId="77777777" w:rsidR="00FE2308" w:rsidRPr="00FE2308" w:rsidRDefault="00FE2308" w:rsidP="00FE2308">
            <w:pPr>
              <w:pStyle w:val="Corpotesto"/>
              <w:spacing w:before="43"/>
              <w:ind w:left="120"/>
              <w:rPr>
                <w:b/>
                <w:sz w:val="24"/>
              </w:rPr>
            </w:pPr>
            <w:r w:rsidRPr="00FE2308">
              <w:rPr>
                <w:b/>
                <w:sz w:val="24"/>
              </w:rPr>
              <w:t>Class presentation: 40%</w:t>
            </w:r>
          </w:p>
          <w:p w14:paraId="33743C2B" w14:textId="77777777" w:rsidR="00FE2308" w:rsidRPr="00FE2308" w:rsidRDefault="00FE2308" w:rsidP="00FE2308">
            <w:pPr>
              <w:pStyle w:val="Corpotesto"/>
              <w:ind w:left="120"/>
              <w:rPr>
                <w:b/>
                <w:sz w:val="24"/>
              </w:rPr>
            </w:pPr>
            <w:r w:rsidRPr="00FE2308">
              <w:rPr>
                <w:b/>
                <w:sz w:val="24"/>
              </w:rPr>
              <w:t>Final paper: 60%</w:t>
            </w:r>
          </w:p>
          <w:p w14:paraId="0D34FD2A" w14:textId="77777777" w:rsidR="00FE2308" w:rsidRPr="00FE2308" w:rsidRDefault="00FE2308" w:rsidP="00FE2308">
            <w:pPr>
              <w:pStyle w:val="Corpotesto"/>
              <w:ind w:left="120"/>
              <w:rPr>
                <w:b/>
                <w:sz w:val="24"/>
              </w:rPr>
            </w:pPr>
            <w:r w:rsidRPr="00FE2308">
              <w:rPr>
                <w:b/>
                <w:sz w:val="24"/>
              </w:rPr>
              <w:t>Expectations towards the presentations as well as final paper:</w:t>
            </w:r>
          </w:p>
          <w:p w14:paraId="44E0E8EF" w14:textId="77777777" w:rsidR="00FE2308" w:rsidRPr="00FE2308" w:rsidRDefault="00FE2308" w:rsidP="00FE2308">
            <w:pPr>
              <w:pStyle w:val="Corpotesto"/>
              <w:spacing w:before="7"/>
              <w:rPr>
                <w:b/>
                <w:sz w:val="24"/>
              </w:rPr>
            </w:pPr>
          </w:p>
          <w:p w14:paraId="0354E6E7" w14:textId="77777777" w:rsidR="00FE2308" w:rsidRPr="00FE2308" w:rsidRDefault="00FE2308" w:rsidP="00FE2308">
            <w:pPr>
              <w:pStyle w:val="Paragrafoelenco"/>
              <w:numPr>
                <w:ilvl w:val="0"/>
                <w:numId w:val="3"/>
              </w:numPr>
              <w:tabs>
                <w:tab w:val="left" w:pos="840"/>
                <w:tab w:val="left" w:pos="841"/>
              </w:tabs>
              <w:ind w:hanging="360"/>
              <w:rPr>
                <w:b/>
                <w:sz w:val="24"/>
              </w:rPr>
            </w:pPr>
            <w:r w:rsidRPr="00FE2308">
              <w:rPr>
                <w:b/>
                <w:sz w:val="24"/>
              </w:rPr>
              <w:t>clear problem statement (e.g. type of corruption</w:t>
            </w:r>
            <w:r w:rsidRPr="00FE2308">
              <w:rPr>
                <w:b/>
                <w:spacing w:val="-4"/>
                <w:sz w:val="24"/>
              </w:rPr>
              <w:t xml:space="preserve"> </w:t>
            </w:r>
            <w:r w:rsidRPr="00FE2308">
              <w:rPr>
                <w:b/>
                <w:sz w:val="24"/>
              </w:rPr>
              <w:t>targeted)</w:t>
            </w:r>
          </w:p>
          <w:p w14:paraId="6B2AE9BB" w14:textId="77777777" w:rsidR="00FE2308" w:rsidRPr="00FE2308" w:rsidRDefault="00FE2308" w:rsidP="00FE2308">
            <w:pPr>
              <w:pStyle w:val="Paragrafoelenco"/>
              <w:numPr>
                <w:ilvl w:val="0"/>
                <w:numId w:val="3"/>
              </w:numPr>
              <w:tabs>
                <w:tab w:val="left" w:pos="840"/>
                <w:tab w:val="left" w:pos="841"/>
              </w:tabs>
              <w:spacing w:before="52"/>
              <w:ind w:hanging="360"/>
              <w:rPr>
                <w:b/>
                <w:sz w:val="24"/>
              </w:rPr>
            </w:pPr>
            <w:r w:rsidRPr="00FE2308">
              <w:rPr>
                <w:b/>
                <w:sz w:val="24"/>
              </w:rPr>
              <w:t>clear definition of corruption risk indicators used and a solid understanding of the data</w:t>
            </w:r>
            <w:r w:rsidRPr="00FE2308">
              <w:rPr>
                <w:b/>
                <w:spacing w:val="-32"/>
                <w:sz w:val="24"/>
              </w:rPr>
              <w:t xml:space="preserve"> </w:t>
            </w:r>
            <w:proofErr w:type="spellStart"/>
            <w:r w:rsidRPr="00FE2308">
              <w:rPr>
                <w:b/>
                <w:sz w:val="24"/>
              </w:rPr>
              <w:t>analysed</w:t>
            </w:r>
            <w:proofErr w:type="spellEnd"/>
          </w:p>
          <w:p w14:paraId="6855A584" w14:textId="77777777" w:rsidR="00FE2308" w:rsidRPr="00FE2308" w:rsidRDefault="00FE2308" w:rsidP="00FE2308">
            <w:pPr>
              <w:pStyle w:val="Paragrafoelenco"/>
              <w:numPr>
                <w:ilvl w:val="0"/>
                <w:numId w:val="3"/>
              </w:numPr>
              <w:tabs>
                <w:tab w:val="left" w:pos="840"/>
                <w:tab w:val="left" w:pos="841"/>
              </w:tabs>
              <w:spacing w:before="49"/>
              <w:ind w:hanging="360"/>
              <w:rPr>
                <w:b/>
                <w:sz w:val="24"/>
              </w:rPr>
            </w:pPr>
            <w:r w:rsidRPr="00FE2308">
              <w:rPr>
                <w:b/>
                <w:sz w:val="24"/>
              </w:rPr>
              <w:t>clear description of the analytical methods and</w:t>
            </w:r>
            <w:r w:rsidRPr="00FE2308">
              <w:rPr>
                <w:b/>
                <w:spacing w:val="-2"/>
                <w:sz w:val="24"/>
              </w:rPr>
              <w:t xml:space="preserve"> </w:t>
            </w:r>
            <w:r w:rsidRPr="00FE2308">
              <w:rPr>
                <w:b/>
                <w:sz w:val="24"/>
              </w:rPr>
              <w:t>findings</w:t>
            </w:r>
          </w:p>
          <w:p w14:paraId="38BBB02A" w14:textId="77777777" w:rsidR="00FE2308" w:rsidRPr="00FE2308" w:rsidRDefault="00FE2308" w:rsidP="00FE2308">
            <w:pPr>
              <w:pStyle w:val="Paragrafoelenco"/>
              <w:numPr>
                <w:ilvl w:val="0"/>
                <w:numId w:val="3"/>
              </w:numPr>
              <w:tabs>
                <w:tab w:val="left" w:pos="840"/>
                <w:tab w:val="left" w:pos="841"/>
              </w:tabs>
              <w:spacing w:before="51" w:line="288" w:lineRule="auto"/>
              <w:ind w:right="105" w:hanging="360"/>
              <w:rPr>
                <w:b/>
                <w:sz w:val="24"/>
              </w:rPr>
            </w:pPr>
            <w:r w:rsidRPr="00FE2308">
              <w:rPr>
                <w:b/>
                <w:sz w:val="24"/>
              </w:rPr>
              <w:t>critical and balanced assessment of the indicators and analytical methods used (pros and cons of various</w:t>
            </w:r>
            <w:r w:rsidRPr="00FE2308">
              <w:rPr>
                <w:b/>
                <w:spacing w:val="-2"/>
                <w:sz w:val="24"/>
              </w:rPr>
              <w:t xml:space="preserve"> </w:t>
            </w:r>
            <w:r w:rsidRPr="00FE2308">
              <w:rPr>
                <w:b/>
                <w:sz w:val="24"/>
              </w:rPr>
              <w:t>indicators)</w:t>
            </w:r>
          </w:p>
          <w:p w14:paraId="136214BA" w14:textId="77777777" w:rsidR="00FE2308" w:rsidRPr="00FE2308" w:rsidRDefault="00FE2308" w:rsidP="00FE2308">
            <w:pPr>
              <w:pStyle w:val="Paragrafoelenco"/>
              <w:numPr>
                <w:ilvl w:val="0"/>
                <w:numId w:val="3"/>
              </w:numPr>
              <w:tabs>
                <w:tab w:val="left" w:pos="840"/>
                <w:tab w:val="left" w:pos="841"/>
              </w:tabs>
              <w:spacing w:before="3"/>
              <w:ind w:hanging="360"/>
              <w:rPr>
                <w:b/>
                <w:sz w:val="24"/>
              </w:rPr>
            </w:pPr>
            <w:r w:rsidRPr="00FE2308">
              <w:rPr>
                <w:b/>
                <w:sz w:val="24"/>
              </w:rPr>
              <w:t>clear and thorough discussion of the uses of the indicators and analysis</w:t>
            </w:r>
            <w:r w:rsidRPr="00FE2308">
              <w:rPr>
                <w:b/>
                <w:spacing w:val="-17"/>
                <w:sz w:val="24"/>
              </w:rPr>
              <w:t xml:space="preserve"> </w:t>
            </w:r>
            <w:r w:rsidRPr="00FE2308">
              <w:rPr>
                <w:b/>
                <w:sz w:val="24"/>
              </w:rPr>
              <w:t>developed</w:t>
            </w:r>
          </w:p>
          <w:p w14:paraId="34C1D267" w14:textId="77777777" w:rsidR="001721FE" w:rsidRPr="00FE2308" w:rsidRDefault="001721FE" w:rsidP="001721FE">
            <w:pPr>
              <w:pStyle w:val="TableParagraph"/>
              <w:spacing w:before="8"/>
              <w:rPr>
                <w:b/>
                <w:sz w:val="24"/>
              </w:rPr>
            </w:pPr>
          </w:p>
        </w:tc>
      </w:tr>
      <w:tr w:rsidR="00FE2308" w:rsidRPr="00FE2308" w14:paraId="4367A428" w14:textId="77777777" w:rsidTr="00FE2308">
        <w:trPr>
          <w:trHeight w:val="1415"/>
        </w:trPr>
        <w:tc>
          <w:tcPr>
            <w:tcW w:w="1877" w:type="dxa"/>
          </w:tcPr>
          <w:p w14:paraId="56B09C13" w14:textId="77777777" w:rsidR="00FE2308" w:rsidRDefault="00FE2308" w:rsidP="001721FE">
            <w:pPr>
              <w:pStyle w:val="TableParagraph"/>
              <w:rPr>
                <w:rFonts w:ascii="Times New Roman"/>
                <w:sz w:val="34"/>
              </w:rPr>
            </w:pPr>
          </w:p>
          <w:p w14:paraId="50606243" w14:textId="77777777" w:rsidR="00FE2308" w:rsidRDefault="00FE2308" w:rsidP="001721FE">
            <w:pPr>
              <w:pStyle w:val="TableParagraph"/>
              <w:rPr>
                <w:rFonts w:ascii="Times New Roman"/>
                <w:sz w:val="34"/>
              </w:rPr>
            </w:pPr>
          </w:p>
          <w:p w14:paraId="1CA68A9F" w14:textId="77777777" w:rsidR="00FE2308" w:rsidRDefault="00FE2308" w:rsidP="00FE2308">
            <w:pPr>
              <w:pStyle w:val="TableParagraph"/>
              <w:jc w:val="center"/>
              <w:rPr>
                <w:b/>
                <w:color w:val="800000"/>
                <w:sz w:val="28"/>
              </w:rPr>
            </w:pPr>
            <w:r w:rsidRPr="00FE2308">
              <w:rPr>
                <w:b/>
                <w:color w:val="800000"/>
                <w:sz w:val="28"/>
              </w:rPr>
              <w:t>CLASS MATERIAL</w:t>
            </w:r>
          </w:p>
          <w:p w14:paraId="3C20A6EA" w14:textId="77777777" w:rsidR="00FE2308" w:rsidRDefault="00FE2308" w:rsidP="00FE2308">
            <w:pPr>
              <w:pStyle w:val="TableParagraph"/>
              <w:jc w:val="center"/>
              <w:rPr>
                <w:rFonts w:ascii="Times New Roman"/>
                <w:sz w:val="34"/>
              </w:rPr>
            </w:pPr>
          </w:p>
        </w:tc>
        <w:tc>
          <w:tcPr>
            <w:tcW w:w="7978" w:type="dxa"/>
            <w:tcBorders>
              <w:bottom w:val="single" w:sz="4" w:space="0" w:color="000000"/>
            </w:tcBorders>
          </w:tcPr>
          <w:p w14:paraId="4BB03ED7" w14:textId="77777777" w:rsidR="00FE2308" w:rsidRPr="00FE2308" w:rsidRDefault="00FE2308" w:rsidP="00FE2308">
            <w:pPr>
              <w:pStyle w:val="Corpotesto"/>
              <w:spacing w:before="43"/>
              <w:ind w:left="120"/>
              <w:rPr>
                <w:b/>
                <w:sz w:val="24"/>
              </w:rPr>
            </w:pPr>
          </w:p>
        </w:tc>
      </w:tr>
    </w:tbl>
    <w:p w14:paraId="7A117B81" w14:textId="77777777" w:rsidR="00D202CD" w:rsidRDefault="00D202CD">
      <w:pPr>
        <w:ind w:left="103"/>
        <w:rPr>
          <w:rFonts w:ascii="Times New Roman"/>
          <w:sz w:val="20"/>
        </w:rPr>
      </w:pPr>
    </w:p>
    <w:sectPr w:rsidR="00D202CD">
      <w:pgSz w:w="11910" w:h="16840"/>
      <w:pgMar w:top="160" w:right="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45C3"/>
    <w:multiLevelType w:val="hybridMultilevel"/>
    <w:tmpl w:val="FC26BFEC"/>
    <w:lvl w:ilvl="0" w:tplc="33221488">
      <w:start w:val="1"/>
      <w:numFmt w:val="decimal"/>
      <w:lvlText w:val="%1."/>
      <w:lvlJc w:val="left"/>
      <w:pPr>
        <w:ind w:left="104" w:hanging="277"/>
        <w:jc w:val="left"/>
      </w:pPr>
      <w:rPr>
        <w:rFonts w:ascii="Calibri" w:eastAsia="Calibri" w:hAnsi="Calibri" w:cs="Calibri" w:hint="default"/>
        <w:w w:val="99"/>
        <w:sz w:val="28"/>
        <w:szCs w:val="28"/>
        <w:lang w:val="en-US" w:eastAsia="en-US" w:bidi="en-US"/>
      </w:rPr>
    </w:lvl>
    <w:lvl w:ilvl="1" w:tplc="254E9BD4">
      <w:numFmt w:val="bullet"/>
      <w:lvlText w:val="•"/>
      <w:lvlJc w:val="left"/>
      <w:pPr>
        <w:ind w:left="881" w:hanging="277"/>
      </w:pPr>
      <w:rPr>
        <w:rFonts w:hint="default"/>
        <w:lang w:val="en-US" w:eastAsia="en-US" w:bidi="en-US"/>
      </w:rPr>
    </w:lvl>
    <w:lvl w:ilvl="2" w:tplc="9C666686">
      <w:numFmt w:val="bullet"/>
      <w:lvlText w:val="•"/>
      <w:lvlJc w:val="left"/>
      <w:pPr>
        <w:ind w:left="1663" w:hanging="277"/>
      </w:pPr>
      <w:rPr>
        <w:rFonts w:hint="default"/>
        <w:lang w:val="en-US" w:eastAsia="en-US" w:bidi="en-US"/>
      </w:rPr>
    </w:lvl>
    <w:lvl w:ilvl="3" w:tplc="86667024">
      <w:numFmt w:val="bullet"/>
      <w:lvlText w:val="•"/>
      <w:lvlJc w:val="left"/>
      <w:pPr>
        <w:ind w:left="2445" w:hanging="277"/>
      </w:pPr>
      <w:rPr>
        <w:rFonts w:hint="default"/>
        <w:lang w:val="en-US" w:eastAsia="en-US" w:bidi="en-US"/>
      </w:rPr>
    </w:lvl>
    <w:lvl w:ilvl="4" w:tplc="AC8C28C0">
      <w:numFmt w:val="bullet"/>
      <w:lvlText w:val="•"/>
      <w:lvlJc w:val="left"/>
      <w:pPr>
        <w:ind w:left="3227" w:hanging="277"/>
      </w:pPr>
      <w:rPr>
        <w:rFonts w:hint="default"/>
        <w:lang w:val="en-US" w:eastAsia="en-US" w:bidi="en-US"/>
      </w:rPr>
    </w:lvl>
    <w:lvl w:ilvl="5" w:tplc="BD4486BE">
      <w:numFmt w:val="bullet"/>
      <w:lvlText w:val="•"/>
      <w:lvlJc w:val="left"/>
      <w:pPr>
        <w:ind w:left="4009" w:hanging="277"/>
      </w:pPr>
      <w:rPr>
        <w:rFonts w:hint="default"/>
        <w:lang w:val="en-US" w:eastAsia="en-US" w:bidi="en-US"/>
      </w:rPr>
    </w:lvl>
    <w:lvl w:ilvl="6" w:tplc="C4823A70">
      <w:numFmt w:val="bullet"/>
      <w:lvlText w:val="•"/>
      <w:lvlJc w:val="left"/>
      <w:pPr>
        <w:ind w:left="4790" w:hanging="277"/>
      </w:pPr>
      <w:rPr>
        <w:rFonts w:hint="default"/>
        <w:lang w:val="en-US" w:eastAsia="en-US" w:bidi="en-US"/>
      </w:rPr>
    </w:lvl>
    <w:lvl w:ilvl="7" w:tplc="655857B8">
      <w:numFmt w:val="bullet"/>
      <w:lvlText w:val="•"/>
      <w:lvlJc w:val="left"/>
      <w:pPr>
        <w:ind w:left="5572" w:hanging="277"/>
      </w:pPr>
      <w:rPr>
        <w:rFonts w:hint="default"/>
        <w:lang w:val="en-US" w:eastAsia="en-US" w:bidi="en-US"/>
      </w:rPr>
    </w:lvl>
    <w:lvl w:ilvl="8" w:tplc="ADAE7FBE">
      <w:numFmt w:val="bullet"/>
      <w:lvlText w:val="•"/>
      <w:lvlJc w:val="left"/>
      <w:pPr>
        <w:ind w:left="6354" w:hanging="277"/>
      </w:pPr>
      <w:rPr>
        <w:rFonts w:hint="default"/>
        <w:lang w:val="en-US" w:eastAsia="en-US" w:bidi="en-US"/>
      </w:rPr>
    </w:lvl>
  </w:abstractNum>
  <w:abstractNum w:abstractNumId="1" w15:restartNumberingAfterBreak="0">
    <w:nsid w:val="384E424B"/>
    <w:multiLevelType w:val="hybridMultilevel"/>
    <w:tmpl w:val="115E89D0"/>
    <w:lvl w:ilvl="0" w:tplc="9678F1DE">
      <w:numFmt w:val="bullet"/>
      <w:lvlText w:val=""/>
      <w:lvlJc w:val="left"/>
      <w:pPr>
        <w:ind w:left="840" w:hanging="361"/>
      </w:pPr>
      <w:rPr>
        <w:rFonts w:ascii="Symbol" w:eastAsia="Symbol" w:hAnsi="Symbol" w:cs="Symbol" w:hint="default"/>
        <w:w w:val="100"/>
        <w:sz w:val="21"/>
        <w:szCs w:val="21"/>
        <w:lang w:val="en-US" w:eastAsia="en-US" w:bidi="en-US"/>
      </w:rPr>
    </w:lvl>
    <w:lvl w:ilvl="1" w:tplc="738E7532">
      <w:numFmt w:val="bullet"/>
      <w:lvlText w:val="•"/>
      <w:lvlJc w:val="left"/>
      <w:pPr>
        <w:ind w:left="1674" w:hanging="361"/>
      </w:pPr>
      <w:rPr>
        <w:rFonts w:hint="default"/>
        <w:lang w:val="en-US" w:eastAsia="en-US" w:bidi="en-US"/>
      </w:rPr>
    </w:lvl>
    <w:lvl w:ilvl="2" w:tplc="961E7E1E">
      <w:numFmt w:val="bullet"/>
      <w:lvlText w:val="•"/>
      <w:lvlJc w:val="left"/>
      <w:pPr>
        <w:ind w:left="2509" w:hanging="361"/>
      </w:pPr>
      <w:rPr>
        <w:rFonts w:hint="default"/>
        <w:lang w:val="en-US" w:eastAsia="en-US" w:bidi="en-US"/>
      </w:rPr>
    </w:lvl>
    <w:lvl w:ilvl="3" w:tplc="ABA43B0C">
      <w:numFmt w:val="bullet"/>
      <w:lvlText w:val="•"/>
      <w:lvlJc w:val="left"/>
      <w:pPr>
        <w:ind w:left="3343" w:hanging="361"/>
      </w:pPr>
      <w:rPr>
        <w:rFonts w:hint="default"/>
        <w:lang w:val="en-US" w:eastAsia="en-US" w:bidi="en-US"/>
      </w:rPr>
    </w:lvl>
    <w:lvl w:ilvl="4" w:tplc="8B662D02">
      <w:numFmt w:val="bullet"/>
      <w:lvlText w:val="•"/>
      <w:lvlJc w:val="left"/>
      <w:pPr>
        <w:ind w:left="4178" w:hanging="361"/>
      </w:pPr>
      <w:rPr>
        <w:rFonts w:hint="default"/>
        <w:lang w:val="en-US" w:eastAsia="en-US" w:bidi="en-US"/>
      </w:rPr>
    </w:lvl>
    <w:lvl w:ilvl="5" w:tplc="0C1E22D8">
      <w:numFmt w:val="bullet"/>
      <w:lvlText w:val="•"/>
      <w:lvlJc w:val="left"/>
      <w:pPr>
        <w:ind w:left="5013" w:hanging="361"/>
      </w:pPr>
      <w:rPr>
        <w:rFonts w:hint="default"/>
        <w:lang w:val="en-US" w:eastAsia="en-US" w:bidi="en-US"/>
      </w:rPr>
    </w:lvl>
    <w:lvl w:ilvl="6" w:tplc="382A28AE">
      <w:numFmt w:val="bullet"/>
      <w:lvlText w:val="•"/>
      <w:lvlJc w:val="left"/>
      <w:pPr>
        <w:ind w:left="5847" w:hanging="361"/>
      </w:pPr>
      <w:rPr>
        <w:rFonts w:hint="default"/>
        <w:lang w:val="en-US" w:eastAsia="en-US" w:bidi="en-US"/>
      </w:rPr>
    </w:lvl>
    <w:lvl w:ilvl="7" w:tplc="10CEF0C0">
      <w:numFmt w:val="bullet"/>
      <w:lvlText w:val="•"/>
      <w:lvlJc w:val="left"/>
      <w:pPr>
        <w:ind w:left="6682" w:hanging="361"/>
      </w:pPr>
      <w:rPr>
        <w:rFonts w:hint="default"/>
        <w:lang w:val="en-US" w:eastAsia="en-US" w:bidi="en-US"/>
      </w:rPr>
    </w:lvl>
    <w:lvl w:ilvl="8" w:tplc="B68E11A6">
      <w:numFmt w:val="bullet"/>
      <w:lvlText w:val="•"/>
      <w:lvlJc w:val="left"/>
      <w:pPr>
        <w:ind w:left="7517" w:hanging="361"/>
      </w:pPr>
      <w:rPr>
        <w:rFonts w:hint="default"/>
        <w:lang w:val="en-US" w:eastAsia="en-US" w:bidi="en-US"/>
      </w:rPr>
    </w:lvl>
  </w:abstractNum>
  <w:abstractNum w:abstractNumId="2" w15:restartNumberingAfterBreak="0">
    <w:nsid w:val="48925FF5"/>
    <w:multiLevelType w:val="hybridMultilevel"/>
    <w:tmpl w:val="14D0E780"/>
    <w:lvl w:ilvl="0" w:tplc="B824D6CC">
      <w:start w:val="1"/>
      <w:numFmt w:val="decimal"/>
      <w:lvlText w:val="%1."/>
      <w:lvlJc w:val="left"/>
      <w:pPr>
        <w:ind w:left="840" w:hanging="361"/>
        <w:jc w:val="left"/>
      </w:pPr>
      <w:rPr>
        <w:rFonts w:ascii="Calibri" w:eastAsia="Calibri" w:hAnsi="Calibri" w:cs="Calibri" w:hint="default"/>
        <w:w w:val="100"/>
        <w:sz w:val="21"/>
        <w:szCs w:val="21"/>
        <w:lang w:val="en-US" w:eastAsia="en-US" w:bidi="en-US"/>
      </w:rPr>
    </w:lvl>
    <w:lvl w:ilvl="1" w:tplc="F5C2B7D4">
      <w:numFmt w:val="bullet"/>
      <w:lvlText w:val="•"/>
      <w:lvlJc w:val="left"/>
      <w:pPr>
        <w:ind w:left="1674" w:hanging="361"/>
      </w:pPr>
      <w:rPr>
        <w:rFonts w:hint="default"/>
        <w:lang w:val="en-US" w:eastAsia="en-US" w:bidi="en-US"/>
      </w:rPr>
    </w:lvl>
    <w:lvl w:ilvl="2" w:tplc="E8F6E44E">
      <w:numFmt w:val="bullet"/>
      <w:lvlText w:val="•"/>
      <w:lvlJc w:val="left"/>
      <w:pPr>
        <w:ind w:left="2509" w:hanging="361"/>
      </w:pPr>
      <w:rPr>
        <w:rFonts w:hint="default"/>
        <w:lang w:val="en-US" w:eastAsia="en-US" w:bidi="en-US"/>
      </w:rPr>
    </w:lvl>
    <w:lvl w:ilvl="3" w:tplc="FFBEBB54">
      <w:numFmt w:val="bullet"/>
      <w:lvlText w:val="•"/>
      <w:lvlJc w:val="left"/>
      <w:pPr>
        <w:ind w:left="3343" w:hanging="361"/>
      </w:pPr>
      <w:rPr>
        <w:rFonts w:hint="default"/>
        <w:lang w:val="en-US" w:eastAsia="en-US" w:bidi="en-US"/>
      </w:rPr>
    </w:lvl>
    <w:lvl w:ilvl="4" w:tplc="03E489E8">
      <w:numFmt w:val="bullet"/>
      <w:lvlText w:val="•"/>
      <w:lvlJc w:val="left"/>
      <w:pPr>
        <w:ind w:left="4178" w:hanging="361"/>
      </w:pPr>
      <w:rPr>
        <w:rFonts w:hint="default"/>
        <w:lang w:val="en-US" w:eastAsia="en-US" w:bidi="en-US"/>
      </w:rPr>
    </w:lvl>
    <w:lvl w:ilvl="5" w:tplc="0E1247B6">
      <w:numFmt w:val="bullet"/>
      <w:lvlText w:val="•"/>
      <w:lvlJc w:val="left"/>
      <w:pPr>
        <w:ind w:left="5013" w:hanging="361"/>
      </w:pPr>
      <w:rPr>
        <w:rFonts w:hint="default"/>
        <w:lang w:val="en-US" w:eastAsia="en-US" w:bidi="en-US"/>
      </w:rPr>
    </w:lvl>
    <w:lvl w:ilvl="6" w:tplc="7406A96E">
      <w:numFmt w:val="bullet"/>
      <w:lvlText w:val="•"/>
      <w:lvlJc w:val="left"/>
      <w:pPr>
        <w:ind w:left="5847" w:hanging="361"/>
      </w:pPr>
      <w:rPr>
        <w:rFonts w:hint="default"/>
        <w:lang w:val="en-US" w:eastAsia="en-US" w:bidi="en-US"/>
      </w:rPr>
    </w:lvl>
    <w:lvl w:ilvl="7" w:tplc="79F89F5E">
      <w:numFmt w:val="bullet"/>
      <w:lvlText w:val="•"/>
      <w:lvlJc w:val="left"/>
      <w:pPr>
        <w:ind w:left="6682" w:hanging="361"/>
      </w:pPr>
      <w:rPr>
        <w:rFonts w:hint="default"/>
        <w:lang w:val="en-US" w:eastAsia="en-US" w:bidi="en-US"/>
      </w:rPr>
    </w:lvl>
    <w:lvl w:ilvl="8" w:tplc="6CBABDE0">
      <w:numFmt w:val="bullet"/>
      <w:lvlText w:val="•"/>
      <w:lvlJc w:val="left"/>
      <w:pPr>
        <w:ind w:left="7517" w:hanging="361"/>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CD"/>
    <w:rsid w:val="001721FE"/>
    <w:rsid w:val="00925976"/>
    <w:rsid w:val="00972507"/>
    <w:rsid w:val="00D202CD"/>
    <w:rsid w:val="00FE23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A7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Corpotesto">
    <w:name w:val="Body Text"/>
    <w:basedOn w:val="Normale"/>
    <w:link w:val="CorpotestoCarattere"/>
    <w:uiPriority w:val="1"/>
    <w:qFormat/>
    <w:rsid w:val="00972507"/>
    <w:rPr>
      <w:sz w:val="21"/>
      <w:szCs w:val="21"/>
    </w:rPr>
  </w:style>
  <w:style w:type="character" w:customStyle="1" w:styleId="CorpotestoCarattere">
    <w:name w:val="Corpo testo Carattere"/>
    <w:basedOn w:val="Carpredefinitoparagrafo"/>
    <w:link w:val="Corpotesto"/>
    <w:uiPriority w:val="1"/>
    <w:rsid w:val="00972507"/>
    <w:rPr>
      <w:rFonts w:ascii="Calibri" w:eastAsia="Calibri" w:hAnsi="Calibri" w:cs="Calibri"/>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21319">
      <w:bodyDiv w:val="1"/>
      <w:marLeft w:val="0"/>
      <w:marRight w:val="0"/>
      <w:marTop w:val="0"/>
      <w:marBottom w:val="0"/>
      <w:divBdr>
        <w:top w:val="none" w:sz="0" w:space="0" w:color="auto"/>
        <w:left w:val="none" w:sz="0" w:space="0" w:color="auto"/>
        <w:bottom w:val="none" w:sz="0" w:space="0" w:color="auto"/>
        <w:right w:val="none" w:sz="0" w:space="0" w:color="auto"/>
      </w:divBdr>
    </w:div>
    <w:div w:id="1184981453">
      <w:bodyDiv w:val="1"/>
      <w:marLeft w:val="0"/>
      <w:marRight w:val="0"/>
      <w:marTop w:val="0"/>
      <w:marBottom w:val="0"/>
      <w:divBdr>
        <w:top w:val="none" w:sz="0" w:space="0" w:color="auto"/>
        <w:left w:val="none" w:sz="0" w:space="0" w:color="auto"/>
        <w:bottom w:val="none" w:sz="0" w:space="0" w:color="auto"/>
        <w:right w:val="none" w:sz="0" w:space="0" w:color="auto"/>
      </w:divBdr>
    </w:div>
    <w:div w:id="1693149274">
      <w:bodyDiv w:val="1"/>
      <w:marLeft w:val="0"/>
      <w:marRight w:val="0"/>
      <w:marTop w:val="0"/>
      <w:marBottom w:val="0"/>
      <w:divBdr>
        <w:top w:val="none" w:sz="0" w:space="0" w:color="auto"/>
        <w:left w:val="none" w:sz="0" w:space="0" w:color="auto"/>
        <w:bottom w:val="none" w:sz="0" w:space="0" w:color="auto"/>
        <w:right w:val="none" w:sz="0" w:space="0" w:color="auto"/>
      </w:divBdr>
    </w:div>
    <w:div w:id="2029865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digiwhist.eu/resources/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cesma</dc:creator>
  <cp:lastModifiedBy>Utente Windows</cp:lastModifiedBy>
  <cp:revision>2</cp:revision>
  <dcterms:created xsi:type="dcterms:W3CDTF">2019-09-09T14:27:00Z</dcterms:created>
  <dcterms:modified xsi:type="dcterms:W3CDTF">2019-09-09T14:27:00Z</dcterms:modified>
</cp:coreProperties>
</file>